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248DC" w:rsidRPr="002248DC" w:rsidRDefault="002248DC" w:rsidP="002248DC">
      <w:pPr>
        <w:spacing w:line="480" w:lineRule="auto"/>
        <w:jc w:val="center"/>
        <w:rPr>
          <w:rFonts w:ascii="Times New Roman" w:hAnsi="Times New Roman" w:cs="Times New Roman"/>
          <w:sz w:val="24"/>
          <w:szCs w:val="24"/>
        </w:rPr>
      </w:pPr>
      <w:bookmarkStart w:id="0" w:name="_GoBack"/>
      <w:bookmarkEnd w:id="0"/>
      <w:r w:rsidRPr="002248DC">
        <w:rPr>
          <w:rFonts w:ascii="Times New Roman" w:hAnsi="Times New Roman" w:cs="Times New Roman"/>
          <w:sz w:val="24"/>
          <w:szCs w:val="24"/>
        </w:rPr>
        <w:t>Benefits of Oregano Plant</w:t>
      </w:r>
    </w:p>
    <w:p w:rsidR="002248DC" w:rsidRPr="002248DC" w:rsidRDefault="002248DC" w:rsidP="002248DC">
      <w:pPr>
        <w:spacing w:line="480" w:lineRule="auto"/>
        <w:jc w:val="center"/>
        <w:rPr>
          <w:rFonts w:ascii="Times New Roman" w:hAnsi="Times New Roman" w:cs="Times New Roman"/>
          <w:sz w:val="24"/>
          <w:szCs w:val="24"/>
        </w:rPr>
      </w:pPr>
    </w:p>
    <w:p w:rsidR="002248DC" w:rsidRDefault="002248DC" w:rsidP="002248DC">
      <w:pPr>
        <w:spacing w:line="480" w:lineRule="auto"/>
        <w:jc w:val="center"/>
        <w:rPr>
          <w:rFonts w:ascii="Times New Roman" w:hAnsi="Times New Roman" w:cs="Times New Roman"/>
          <w:sz w:val="24"/>
          <w:szCs w:val="24"/>
        </w:rPr>
      </w:pPr>
    </w:p>
    <w:p w:rsidR="00D40227" w:rsidRDefault="00D40227" w:rsidP="002248DC">
      <w:pPr>
        <w:spacing w:line="480" w:lineRule="auto"/>
        <w:jc w:val="center"/>
        <w:rPr>
          <w:rFonts w:ascii="Times New Roman" w:hAnsi="Times New Roman" w:cs="Times New Roman"/>
          <w:sz w:val="24"/>
          <w:szCs w:val="24"/>
        </w:rPr>
      </w:pPr>
    </w:p>
    <w:p w:rsidR="00D40227" w:rsidRDefault="00D40227" w:rsidP="002248DC">
      <w:pPr>
        <w:spacing w:line="480" w:lineRule="auto"/>
        <w:jc w:val="center"/>
        <w:rPr>
          <w:rFonts w:ascii="Times New Roman" w:hAnsi="Times New Roman" w:cs="Times New Roman"/>
          <w:sz w:val="24"/>
          <w:szCs w:val="24"/>
        </w:rPr>
      </w:pPr>
    </w:p>
    <w:p w:rsidR="00D40227" w:rsidRDefault="00D40227" w:rsidP="002248DC">
      <w:pPr>
        <w:spacing w:line="480" w:lineRule="auto"/>
        <w:jc w:val="center"/>
        <w:rPr>
          <w:rFonts w:ascii="Times New Roman" w:hAnsi="Times New Roman" w:cs="Times New Roman"/>
          <w:sz w:val="24"/>
          <w:szCs w:val="24"/>
        </w:rPr>
      </w:pPr>
    </w:p>
    <w:p w:rsidR="00D40227" w:rsidRDefault="00D40227" w:rsidP="002248DC">
      <w:pPr>
        <w:spacing w:line="480" w:lineRule="auto"/>
        <w:jc w:val="center"/>
        <w:rPr>
          <w:rFonts w:ascii="Times New Roman" w:hAnsi="Times New Roman" w:cs="Times New Roman"/>
          <w:sz w:val="24"/>
          <w:szCs w:val="24"/>
        </w:rPr>
      </w:pPr>
    </w:p>
    <w:p w:rsidR="00D40227" w:rsidRDefault="00D40227" w:rsidP="002248DC">
      <w:pPr>
        <w:spacing w:line="480" w:lineRule="auto"/>
        <w:jc w:val="center"/>
        <w:rPr>
          <w:rFonts w:ascii="Times New Roman" w:hAnsi="Times New Roman" w:cs="Times New Roman"/>
          <w:sz w:val="24"/>
          <w:szCs w:val="24"/>
        </w:rPr>
      </w:pPr>
    </w:p>
    <w:p w:rsidR="002248DC" w:rsidRPr="002248DC" w:rsidRDefault="002248DC" w:rsidP="002248DC">
      <w:pPr>
        <w:spacing w:line="480" w:lineRule="auto"/>
        <w:jc w:val="center"/>
        <w:rPr>
          <w:rFonts w:ascii="Times New Roman" w:hAnsi="Times New Roman" w:cs="Times New Roman"/>
          <w:sz w:val="24"/>
          <w:szCs w:val="24"/>
        </w:rPr>
      </w:pPr>
      <w:r w:rsidRPr="002248DC">
        <w:rPr>
          <w:rFonts w:ascii="Times New Roman" w:hAnsi="Times New Roman" w:cs="Times New Roman"/>
          <w:sz w:val="24"/>
          <w:szCs w:val="24"/>
        </w:rPr>
        <w:t>Course</w:t>
      </w:r>
    </w:p>
    <w:p w:rsidR="002248DC" w:rsidRPr="002248DC" w:rsidRDefault="002248DC" w:rsidP="002248DC">
      <w:pPr>
        <w:spacing w:line="480" w:lineRule="auto"/>
        <w:jc w:val="center"/>
        <w:rPr>
          <w:rFonts w:ascii="Times New Roman" w:hAnsi="Times New Roman" w:cs="Times New Roman"/>
          <w:sz w:val="24"/>
          <w:szCs w:val="24"/>
        </w:rPr>
      </w:pPr>
      <w:r w:rsidRPr="002248DC">
        <w:rPr>
          <w:rFonts w:ascii="Times New Roman" w:hAnsi="Times New Roman" w:cs="Times New Roman"/>
          <w:sz w:val="24"/>
          <w:szCs w:val="24"/>
        </w:rPr>
        <w:t>Instructor</w:t>
      </w:r>
    </w:p>
    <w:p w:rsidR="002248DC" w:rsidRPr="002248DC" w:rsidRDefault="002248DC" w:rsidP="002248DC">
      <w:pPr>
        <w:spacing w:line="480" w:lineRule="auto"/>
        <w:jc w:val="center"/>
        <w:rPr>
          <w:rFonts w:ascii="Times New Roman" w:hAnsi="Times New Roman" w:cs="Times New Roman"/>
          <w:sz w:val="24"/>
          <w:szCs w:val="24"/>
        </w:rPr>
      </w:pPr>
      <w:r w:rsidRPr="002248DC">
        <w:rPr>
          <w:rFonts w:ascii="Times New Roman" w:hAnsi="Times New Roman" w:cs="Times New Roman"/>
          <w:sz w:val="24"/>
          <w:szCs w:val="24"/>
        </w:rPr>
        <w:t>Institution</w:t>
      </w:r>
    </w:p>
    <w:p w:rsidR="002248DC" w:rsidRPr="002248DC" w:rsidRDefault="002248DC" w:rsidP="002248DC">
      <w:pPr>
        <w:spacing w:line="480" w:lineRule="auto"/>
        <w:jc w:val="center"/>
        <w:rPr>
          <w:rFonts w:ascii="Times New Roman" w:hAnsi="Times New Roman" w:cs="Times New Roman"/>
          <w:sz w:val="24"/>
          <w:szCs w:val="24"/>
        </w:rPr>
      </w:pPr>
      <w:r w:rsidRPr="002248DC">
        <w:rPr>
          <w:rFonts w:ascii="Times New Roman" w:hAnsi="Times New Roman" w:cs="Times New Roman"/>
          <w:sz w:val="24"/>
          <w:szCs w:val="24"/>
        </w:rPr>
        <w:t>Location</w:t>
      </w:r>
    </w:p>
    <w:p w:rsidR="002248DC" w:rsidRDefault="002248DC" w:rsidP="002248DC">
      <w:pPr>
        <w:spacing w:line="480" w:lineRule="auto"/>
        <w:jc w:val="center"/>
        <w:rPr>
          <w:rFonts w:ascii="Times New Roman" w:hAnsi="Times New Roman" w:cs="Times New Roman"/>
          <w:b/>
          <w:sz w:val="24"/>
          <w:szCs w:val="24"/>
        </w:rPr>
      </w:pPr>
      <w:r w:rsidRPr="002248DC">
        <w:rPr>
          <w:rFonts w:ascii="Times New Roman" w:hAnsi="Times New Roman" w:cs="Times New Roman"/>
          <w:sz w:val="24"/>
          <w:szCs w:val="24"/>
        </w:rPr>
        <w:t>Date</w:t>
      </w:r>
    </w:p>
    <w:p w:rsidR="002248DC" w:rsidRDefault="002248DC">
      <w:pPr>
        <w:rPr>
          <w:rFonts w:ascii="Times New Roman" w:hAnsi="Times New Roman" w:cs="Times New Roman"/>
          <w:b/>
          <w:sz w:val="24"/>
          <w:szCs w:val="24"/>
        </w:rPr>
      </w:pPr>
      <w:r>
        <w:rPr>
          <w:rFonts w:ascii="Times New Roman" w:hAnsi="Times New Roman" w:cs="Times New Roman"/>
          <w:b/>
          <w:sz w:val="24"/>
          <w:szCs w:val="24"/>
        </w:rPr>
        <w:br w:type="page"/>
      </w:r>
    </w:p>
    <w:p w:rsidR="00362FCC" w:rsidRPr="0088016C" w:rsidRDefault="006216AE" w:rsidP="006216AE">
      <w:pPr>
        <w:spacing w:line="480" w:lineRule="auto"/>
        <w:jc w:val="center"/>
        <w:rPr>
          <w:rFonts w:ascii="Times New Roman" w:hAnsi="Times New Roman" w:cs="Times New Roman"/>
          <w:b/>
          <w:sz w:val="24"/>
          <w:szCs w:val="24"/>
        </w:rPr>
      </w:pPr>
      <w:r w:rsidRPr="0088016C">
        <w:rPr>
          <w:rFonts w:ascii="Times New Roman" w:hAnsi="Times New Roman" w:cs="Times New Roman"/>
          <w:b/>
          <w:sz w:val="24"/>
          <w:szCs w:val="24"/>
        </w:rPr>
        <w:lastRenderedPageBreak/>
        <w:t>Benefits of Oregano plant (</w:t>
      </w:r>
      <w:r w:rsidRPr="0088016C">
        <w:rPr>
          <w:rFonts w:ascii="Times New Roman" w:hAnsi="Times New Roman" w:cs="Times New Roman"/>
          <w:b/>
          <w:i/>
          <w:sz w:val="24"/>
          <w:szCs w:val="24"/>
        </w:rPr>
        <w:t>Origanum vulgare</w:t>
      </w:r>
      <w:r w:rsidRPr="0088016C">
        <w:rPr>
          <w:rFonts w:ascii="Times New Roman" w:hAnsi="Times New Roman" w:cs="Times New Roman"/>
          <w:b/>
          <w:sz w:val="24"/>
          <w:szCs w:val="24"/>
        </w:rPr>
        <w:t>)</w:t>
      </w:r>
    </w:p>
    <w:p w:rsidR="002500DB" w:rsidRPr="006216AE" w:rsidRDefault="002500DB" w:rsidP="002259EB">
      <w:pPr>
        <w:spacing w:line="480" w:lineRule="auto"/>
        <w:ind w:firstLine="720"/>
        <w:rPr>
          <w:rFonts w:ascii="Times New Roman" w:hAnsi="Times New Roman" w:cs="Times New Roman"/>
          <w:sz w:val="24"/>
          <w:szCs w:val="24"/>
        </w:rPr>
      </w:pPr>
      <w:r>
        <w:rPr>
          <w:rFonts w:ascii="Times New Roman" w:hAnsi="Times New Roman" w:cs="Times New Roman"/>
          <w:sz w:val="24"/>
          <w:szCs w:val="24"/>
        </w:rPr>
        <w:t>Oregano plant produces oil that is of crucial medicinal importance with the active compounds being thymol, carvacrol, and rosmarinic acid that are responsible for</w:t>
      </w:r>
      <w:r w:rsidR="0025583C">
        <w:rPr>
          <w:rFonts w:ascii="Times New Roman" w:hAnsi="Times New Roman" w:cs="Times New Roman"/>
          <w:sz w:val="24"/>
          <w:szCs w:val="24"/>
        </w:rPr>
        <w:t xml:space="preserve"> its medical healing in addition to </w:t>
      </w:r>
      <w:r>
        <w:rPr>
          <w:rFonts w:ascii="Times New Roman" w:hAnsi="Times New Roman" w:cs="Times New Roman"/>
          <w:sz w:val="24"/>
          <w:szCs w:val="24"/>
        </w:rPr>
        <w:t>being a spice for culinary purposes. As presented in the table below, Oregano oil has a range of medical uses.</w:t>
      </w:r>
    </w:p>
    <w:tbl>
      <w:tblPr>
        <w:tblStyle w:val="TableGrid"/>
        <w:tblW w:w="0" w:type="auto"/>
        <w:tblLook w:val="04A0" w:firstRow="1" w:lastRow="0" w:firstColumn="1" w:lastColumn="0" w:noHBand="0" w:noVBand="1"/>
      </w:tblPr>
      <w:tblGrid>
        <w:gridCol w:w="2394"/>
        <w:gridCol w:w="2394"/>
        <w:gridCol w:w="2394"/>
      </w:tblGrid>
      <w:tr w:rsidR="00AB5F0A" w:rsidTr="006216AE">
        <w:tc>
          <w:tcPr>
            <w:tcW w:w="2394" w:type="dxa"/>
          </w:tcPr>
          <w:p w:rsidR="00AB5F0A" w:rsidRPr="008F05AA" w:rsidRDefault="00AB5F0A" w:rsidP="006216AE">
            <w:pPr>
              <w:spacing w:line="480" w:lineRule="auto"/>
              <w:jc w:val="center"/>
              <w:rPr>
                <w:rFonts w:ascii="Times New Roman" w:hAnsi="Times New Roman" w:cs="Times New Roman"/>
                <w:b/>
                <w:sz w:val="24"/>
                <w:szCs w:val="24"/>
              </w:rPr>
            </w:pPr>
            <w:r w:rsidRPr="008F05AA">
              <w:rPr>
                <w:rFonts w:ascii="Times New Roman" w:hAnsi="Times New Roman" w:cs="Times New Roman"/>
                <w:b/>
                <w:sz w:val="24"/>
                <w:szCs w:val="24"/>
              </w:rPr>
              <w:t>Ailment</w:t>
            </w:r>
          </w:p>
        </w:tc>
        <w:tc>
          <w:tcPr>
            <w:tcW w:w="2394" w:type="dxa"/>
          </w:tcPr>
          <w:p w:rsidR="00AB5F0A" w:rsidRPr="008F05AA" w:rsidRDefault="00AB5F0A" w:rsidP="006216AE">
            <w:pPr>
              <w:spacing w:line="480" w:lineRule="auto"/>
              <w:jc w:val="center"/>
              <w:rPr>
                <w:rFonts w:ascii="Times New Roman" w:hAnsi="Times New Roman" w:cs="Times New Roman"/>
                <w:b/>
                <w:sz w:val="24"/>
                <w:szCs w:val="24"/>
              </w:rPr>
            </w:pPr>
            <w:r w:rsidRPr="008F05AA">
              <w:rPr>
                <w:rFonts w:ascii="Times New Roman" w:hAnsi="Times New Roman" w:cs="Times New Roman"/>
                <w:b/>
                <w:sz w:val="24"/>
                <w:szCs w:val="24"/>
              </w:rPr>
              <w:t>Effect with Oregano</w:t>
            </w:r>
          </w:p>
        </w:tc>
        <w:tc>
          <w:tcPr>
            <w:tcW w:w="2394" w:type="dxa"/>
          </w:tcPr>
          <w:p w:rsidR="00AB5F0A" w:rsidRPr="008F05AA" w:rsidRDefault="00AB5F0A" w:rsidP="006216AE">
            <w:pPr>
              <w:spacing w:line="480" w:lineRule="auto"/>
              <w:jc w:val="center"/>
              <w:rPr>
                <w:rFonts w:ascii="Times New Roman" w:hAnsi="Times New Roman" w:cs="Times New Roman"/>
                <w:b/>
                <w:sz w:val="24"/>
                <w:szCs w:val="24"/>
              </w:rPr>
            </w:pPr>
            <w:r w:rsidRPr="008F05AA">
              <w:rPr>
                <w:rFonts w:ascii="Times New Roman" w:hAnsi="Times New Roman" w:cs="Times New Roman"/>
                <w:b/>
                <w:sz w:val="24"/>
                <w:szCs w:val="24"/>
              </w:rPr>
              <w:t>References</w:t>
            </w:r>
          </w:p>
        </w:tc>
      </w:tr>
      <w:tr w:rsidR="00AB5F0A" w:rsidTr="006216AE">
        <w:tc>
          <w:tcPr>
            <w:tcW w:w="2394" w:type="dxa"/>
          </w:tcPr>
          <w:p w:rsidR="00AB5F0A" w:rsidRDefault="00AB5F0A" w:rsidP="006216AE">
            <w:pPr>
              <w:spacing w:line="480" w:lineRule="auto"/>
              <w:rPr>
                <w:rFonts w:ascii="Times New Roman" w:hAnsi="Times New Roman" w:cs="Times New Roman"/>
                <w:sz w:val="24"/>
                <w:szCs w:val="24"/>
              </w:rPr>
            </w:pPr>
            <w:r>
              <w:rPr>
                <w:rFonts w:ascii="Times New Roman" w:hAnsi="Times New Roman" w:cs="Times New Roman"/>
                <w:sz w:val="24"/>
                <w:szCs w:val="24"/>
              </w:rPr>
              <w:t>Cuts / Wounds</w:t>
            </w:r>
          </w:p>
        </w:tc>
        <w:tc>
          <w:tcPr>
            <w:tcW w:w="2394" w:type="dxa"/>
          </w:tcPr>
          <w:p w:rsidR="00AB5F0A" w:rsidRDefault="00AB5F0A" w:rsidP="006216AE">
            <w:pPr>
              <w:spacing w:line="480" w:lineRule="auto"/>
              <w:rPr>
                <w:rFonts w:ascii="Times New Roman" w:hAnsi="Times New Roman" w:cs="Times New Roman"/>
                <w:sz w:val="24"/>
                <w:szCs w:val="24"/>
              </w:rPr>
            </w:pPr>
            <w:r>
              <w:rPr>
                <w:rFonts w:ascii="Times New Roman" w:hAnsi="Times New Roman" w:cs="Times New Roman"/>
                <w:sz w:val="24"/>
                <w:szCs w:val="24"/>
              </w:rPr>
              <w:t>100% No itching, inflammation, or irritation due to tannins that prevent the growth of certain skin cells</w:t>
            </w:r>
          </w:p>
        </w:tc>
        <w:tc>
          <w:tcPr>
            <w:tcW w:w="2394" w:type="dxa"/>
          </w:tcPr>
          <w:p w:rsidR="00AB5F0A" w:rsidRDefault="004F0F93" w:rsidP="006216AE">
            <w:pPr>
              <w:spacing w:line="480" w:lineRule="auto"/>
              <w:rPr>
                <w:rFonts w:ascii="Times New Roman" w:hAnsi="Times New Roman" w:cs="Times New Roman"/>
                <w:sz w:val="24"/>
                <w:szCs w:val="24"/>
              </w:rPr>
            </w:pPr>
            <w:r w:rsidRPr="0091736F">
              <w:rPr>
                <w:rFonts w:ascii="Times New Roman" w:hAnsi="Times New Roman" w:cs="Times New Roman"/>
                <w:noProof/>
                <w:sz w:val="24"/>
                <w:szCs w:val="24"/>
              </w:rPr>
              <w:t>(Amit Baran, 2016)</w:t>
            </w:r>
          </w:p>
          <w:p w:rsidR="0091736F" w:rsidRDefault="004F0F93" w:rsidP="006216AE">
            <w:pPr>
              <w:spacing w:line="480" w:lineRule="auto"/>
              <w:rPr>
                <w:rFonts w:ascii="Times New Roman" w:hAnsi="Times New Roman" w:cs="Times New Roman"/>
                <w:sz w:val="24"/>
                <w:szCs w:val="24"/>
              </w:rPr>
            </w:pPr>
            <w:r w:rsidRPr="0091736F">
              <w:rPr>
                <w:rFonts w:ascii="Times New Roman" w:hAnsi="Times New Roman" w:cs="Times New Roman"/>
                <w:noProof/>
                <w:sz w:val="24"/>
                <w:szCs w:val="24"/>
              </w:rPr>
              <w:t>(Jennifer Ragi</w:t>
            </w:r>
            <w:r>
              <w:rPr>
                <w:rFonts w:ascii="Times New Roman" w:hAnsi="Times New Roman" w:cs="Times New Roman"/>
                <w:noProof/>
                <w:sz w:val="24"/>
                <w:szCs w:val="24"/>
              </w:rPr>
              <w:t xml:space="preserve"> et al</w:t>
            </w:r>
            <w:r w:rsidRPr="0091736F">
              <w:rPr>
                <w:rFonts w:ascii="Times New Roman" w:hAnsi="Times New Roman" w:cs="Times New Roman"/>
                <w:noProof/>
                <w:sz w:val="24"/>
                <w:szCs w:val="24"/>
              </w:rPr>
              <w:t>, 2011)</w:t>
            </w:r>
          </w:p>
        </w:tc>
      </w:tr>
      <w:tr w:rsidR="00AB5F0A" w:rsidTr="006216AE">
        <w:tc>
          <w:tcPr>
            <w:tcW w:w="2394" w:type="dxa"/>
          </w:tcPr>
          <w:p w:rsidR="00AB5F0A" w:rsidRDefault="00AB5F0A" w:rsidP="006216AE">
            <w:pPr>
              <w:spacing w:line="480" w:lineRule="auto"/>
              <w:rPr>
                <w:rFonts w:ascii="Times New Roman" w:hAnsi="Times New Roman" w:cs="Times New Roman"/>
                <w:sz w:val="24"/>
                <w:szCs w:val="24"/>
              </w:rPr>
            </w:pPr>
            <w:r>
              <w:rPr>
                <w:rFonts w:ascii="Times New Roman" w:hAnsi="Times New Roman" w:cs="Times New Roman"/>
                <w:sz w:val="24"/>
                <w:szCs w:val="24"/>
              </w:rPr>
              <w:t>Diabetes</w:t>
            </w:r>
          </w:p>
        </w:tc>
        <w:tc>
          <w:tcPr>
            <w:tcW w:w="2394" w:type="dxa"/>
          </w:tcPr>
          <w:p w:rsidR="00AB5F0A" w:rsidRDefault="00DC327B" w:rsidP="006216AE">
            <w:pPr>
              <w:spacing w:line="480" w:lineRule="auto"/>
              <w:rPr>
                <w:rFonts w:ascii="Times New Roman" w:hAnsi="Times New Roman" w:cs="Times New Roman"/>
                <w:sz w:val="24"/>
                <w:szCs w:val="24"/>
              </w:rPr>
            </w:pPr>
            <w:r>
              <w:rPr>
                <w:rFonts w:ascii="Times New Roman" w:hAnsi="Times New Roman" w:cs="Times New Roman"/>
                <w:sz w:val="24"/>
                <w:szCs w:val="24"/>
              </w:rPr>
              <w:t xml:space="preserve">10% effectiveness. </w:t>
            </w:r>
            <w:r w:rsidR="00AB5F0A">
              <w:rPr>
                <w:rFonts w:ascii="Times New Roman" w:hAnsi="Times New Roman" w:cs="Times New Roman"/>
                <w:sz w:val="24"/>
                <w:szCs w:val="24"/>
              </w:rPr>
              <w:t>Blocks dipeptidyl peptidase i</w:t>
            </w:r>
            <w:r w:rsidR="004F0F93">
              <w:rPr>
                <w:rFonts w:ascii="Times New Roman" w:hAnsi="Times New Roman" w:cs="Times New Roman"/>
                <w:sz w:val="24"/>
                <w:szCs w:val="24"/>
              </w:rPr>
              <w:t xml:space="preserve">v in </w:t>
            </w:r>
            <w:r w:rsidR="00AB5F0A">
              <w:rPr>
                <w:rFonts w:ascii="Times New Roman" w:hAnsi="Times New Roman" w:cs="Times New Roman"/>
                <w:sz w:val="24"/>
                <w:szCs w:val="24"/>
              </w:rPr>
              <w:t>the same way as anti-diabetic medications</w:t>
            </w:r>
          </w:p>
        </w:tc>
        <w:tc>
          <w:tcPr>
            <w:tcW w:w="2394" w:type="dxa"/>
          </w:tcPr>
          <w:p w:rsidR="00AB5F0A" w:rsidRDefault="004F0F93" w:rsidP="006216AE">
            <w:pPr>
              <w:spacing w:line="480" w:lineRule="auto"/>
              <w:rPr>
                <w:rFonts w:ascii="Times New Roman" w:hAnsi="Times New Roman" w:cs="Times New Roman"/>
                <w:sz w:val="24"/>
                <w:szCs w:val="24"/>
              </w:rPr>
            </w:pPr>
            <w:r w:rsidRPr="00241A45">
              <w:rPr>
                <w:rFonts w:ascii="Times New Roman" w:hAnsi="Times New Roman" w:cs="Times New Roman"/>
                <w:noProof/>
                <w:sz w:val="24"/>
                <w:szCs w:val="24"/>
              </w:rPr>
              <w:t>(Vazhacharickal</w:t>
            </w:r>
            <w:r>
              <w:rPr>
                <w:rFonts w:ascii="Times New Roman" w:hAnsi="Times New Roman" w:cs="Times New Roman"/>
                <w:noProof/>
                <w:sz w:val="24"/>
                <w:szCs w:val="24"/>
              </w:rPr>
              <w:t xml:space="preserve"> et al</w:t>
            </w:r>
            <w:r w:rsidRPr="00241A45">
              <w:rPr>
                <w:rFonts w:ascii="Times New Roman" w:hAnsi="Times New Roman" w:cs="Times New Roman"/>
                <w:noProof/>
                <w:sz w:val="24"/>
                <w:szCs w:val="24"/>
              </w:rPr>
              <w:t>, 2016)</w:t>
            </w:r>
          </w:p>
        </w:tc>
      </w:tr>
      <w:tr w:rsidR="00AB5F0A" w:rsidTr="006216AE">
        <w:tc>
          <w:tcPr>
            <w:tcW w:w="2394" w:type="dxa"/>
          </w:tcPr>
          <w:p w:rsidR="00AB5F0A" w:rsidRDefault="00AB5F0A" w:rsidP="006216AE">
            <w:pPr>
              <w:spacing w:line="480" w:lineRule="auto"/>
              <w:rPr>
                <w:rFonts w:ascii="Times New Roman" w:hAnsi="Times New Roman" w:cs="Times New Roman"/>
                <w:sz w:val="24"/>
                <w:szCs w:val="24"/>
              </w:rPr>
            </w:pPr>
            <w:r>
              <w:rPr>
                <w:rFonts w:ascii="Times New Roman" w:hAnsi="Times New Roman" w:cs="Times New Roman"/>
                <w:sz w:val="24"/>
                <w:szCs w:val="24"/>
              </w:rPr>
              <w:t>Facial care</w:t>
            </w:r>
          </w:p>
        </w:tc>
        <w:tc>
          <w:tcPr>
            <w:tcW w:w="2394" w:type="dxa"/>
          </w:tcPr>
          <w:p w:rsidR="00AB5F0A" w:rsidRDefault="00AB5F0A" w:rsidP="006216AE">
            <w:pPr>
              <w:spacing w:line="480" w:lineRule="auto"/>
              <w:rPr>
                <w:rFonts w:ascii="Times New Roman" w:hAnsi="Times New Roman" w:cs="Times New Roman"/>
                <w:sz w:val="24"/>
                <w:szCs w:val="24"/>
              </w:rPr>
            </w:pPr>
            <w:r>
              <w:rPr>
                <w:rFonts w:ascii="Times New Roman" w:hAnsi="Times New Roman" w:cs="Times New Roman"/>
                <w:sz w:val="24"/>
                <w:szCs w:val="24"/>
              </w:rPr>
              <w:t xml:space="preserve">50 % effectiveness. Treats acne, cold sores, fungal infections and rashes when applied </w:t>
            </w:r>
            <w:r>
              <w:rPr>
                <w:rFonts w:ascii="Times New Roman" w:hAnsi="Times New Roman" w:cs="Times New Roman"/>
                <w:sz w:val="24"/>
                <w:szCs w:val="24"/>
              </w:rPr>
              <w:lastRenderedPageBreak/>
              <w:t>topically</w:t>
            </w:r>
          </w:p>
        </w:tc>
        <w:tc>
          <w:tcPr>
            <w:tcW w:w="2394" w:type="dxa"/>
          </w:tcPr>
          <w:p w:rsidR="00AB5F0A" w:rsidRDefault="00407C61" w:rsidP="006216AE">
            <w:pPr>
              <w:spacing w:line="480" w:lineRule="auto"/>
              <w:rPr>
                <w:rFonts w:ascii="Times New Roman" w:hAnsi="Times New Roman" w:cs="Times New Roman"/>
                <w:sz w:val="24"/>
                <w:szCs w:val="24"/>
              </w:rPr>
            </w:pPr>
            <w:r w:rsidRPr="00E80387">
              <w:rPr>
                <w:rFonts w:ascii="Times New Roman" w:hAnsi="Times New Roman" w:cs="Times New Roman"/>
                <w:noProof/>
                <w:sz w:val="24"/>
                <w:szCs w:val="24"/>
              </w:rPr>
              <w:lastRenderedPageBreak/>
              <w:t>(Ameh</w:t>
            </w:r>
            <w:r>
              <w:rPr>
                <w:rFonts w:ascii="Times New Roman" w:hAnsi="Times New Roman" w:cs="Times New Roman"/>
                <w:noProof/>
                <w:sz w:val="24"/>
                <w:szCs w:val="24"/>
              </w:rPr>
              <w:t xml:space="preserve"> et al</w:t>
            </w:r>
            <w:r w:rsidRPr="00E80387">
              <w:rPr>
                <w:rFonts w:ascii="Times New Roman" w:hAnsi="Times New Roman" w:cs="Times New Roman"/>
                <w:noProof/>
                <w:sz w:val="24"/>
                <w:szCs w:val="24"/>
              </w:rPr>
              <w:t>, 2015)</w:t>
            </w:r>
            <w:r>
              <w:rPr>
                <w:rFonts w:ascii="Times New Roman" w:hAnsi="Times New Roman" w:cs="Times New Roman"/>
                <w:noProof/>
                <w:sz w:val="24"/>
                <w:szCs w:val="24"/>
              </w:rPr>
              <w:t xml:space="preserve"> </w:t>
            </w:r>
            <w:r w:rsidRPr="00E80387">
              <w:rPr>
                <w:rFonts w:ascii="Times New Roman" w:hAnsi="Times New Roman" w:cs="Times New Roman"/>
                <w:noProof/>
                <w:sz w:val="24"/>
                <w:szCs w:val="24"/>
              </w:rPr>
              <w:t>(Silva</w:t>
            </w:r>
            <w:r>
              <w:rPr>
                <w:rFonts w:ascii="Times New Roman" w:hAnsi="Times New Roman" w:cs="Times New Roman"/>
                <w:noProof/>
                <w:sz w:val="24"/>
                <w:szCs w:val="24"/>
              </w:rPr>
              <w:t xml:space="preserve"> et al</w:t>
            </w:r>
            <w:r w:rsidRPr="00E80387">
              <w:rPr>
                <w:rFonts w:ascii="Times New Roman" w:hAnsi="Times New Roman" w:cs="Times New Roman"/>
                <w:noProof/>
                <w:sz w:val="24"/>
                <w:szCs w:val="24"/>
              </w:rPr>
              <w:t>, 2016)</w:t>
            </w:r>
            <w:r>
              <w:rPr>
                <w:rFonts w:ascii="Times New Roman" w:hAnsi="Times New Roman" w:cs="Times New Roman"/>
                <w:noProof/>
                <w:sz w:val="24"/>
                <w:szCs w:val="24"/>
              </w:rPr>
              <w:t xml:space="preserve"> </w:t>
            </w:r>
            <w:r w:rsidRPr="00E80387">
              <w:rPr>
                <w:rFonts w:ascii="Times New Roman" w:hAnsi="Times New Roman" w:cs="Times New Roman"/>
                <w:noProof/>
                <w:sz w:val="24"/>
                <w:szCs w:val="24"/>
              </w:rPr>
              <w:t>(Schuetz, 2016)</w:t>
            </w:r>
          </w:p>
        </w:tc>
      </w:tr>
      <w:tr w:rsidR="00AB5F0A" w:rsidTr="006216AE">
        <w:tc>
          <w:tcPr>
            <w:tcW w:w="2394" w:type="dxa"/>
          </w:tcPr>
          <w:p w:rsidR="00AB5F0A" w:rsidRDefault="00AB5F0A" w:rsidP="006216AE">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Migraine / headache</w:t>
            </w:r>
          </w:p>
        </w:tc>
        <w:tc>
          <w:tcPr>
            <w:tcW w:w="2394" w:type="dxa"/>
          </w:tcPr>
          <w:p w:rsidR="00AB5F0A" w:rsidRDefault="00AB5F0A" w:rsidP="006216AE">
            <w:pPr>
              <w:spacing w:line="480" w:lineRule="auto"/>
              <w:rPr>
                <w:rFonts w:ascii="Times New Roman" w:hAnsi="Times New Roman" w:cs="Times New Roman"/>
                <w:sz w:val="24"/>
                <w:szCs w:val="24"/>
              </w:rPr>
            </w:pPr>
            <w:r>
              <w:rPr>
                <w:rFonts w:ascii="Times New Roman" w:hAnsi="Times New Roman" w:cs="Times New Roman"/>
                <w:sz w:val="24"/>
                <w:szCs w:val="24"/>
              </w:rPr>
              <w:t>11% Treats headache caused by an excess of Candida albicans</w:t>
            </w:r>
          </w:p>
        </w:tc>
        <w:tc>
          <w:tcPr>
            <w:tcW w:w="2394" w:type="dxa"/>
          </w:tcPr>
          <w:p w:rsidR="00AB5F0A" w:rsidRDefault="00407C61" w:rsidP="006216AE">
            <w:pPr>
              <w:spacing w:line="480" w:lineRule="auto"/>
              <w:rPr>
                <w:rFonts w:ascii="Times New Roman" w:hAnsi="Times New Roman" w:cs="Times New Roman"/>
                <w:sz w:val="24"/>
                <w:szCs w:val="24"/>
              </w:rPr>
            </w:pPr>
            <w:r w:rsidRPr="00E80387">
              <w:rPr>
                <w:rFonts w:ascii="Times New Roman" w:hAnsi="Times New Roman" w:cs="Times New Roman"/>
                <w:noProof/>
                <w:sz w:val="24"/>
                <w:szCs w:val="24"/>
              </w:rPr>
              <w:t>(Bona</w:t>
            </w:r>
            <w:r>
              <w:rPr>
                <w:rFonts w:ascii="Times New Roman" w:hAnsi="Times New Roman" w:cs="Times New Roman"/>
                <w:noProof/>
                <w:sz w:val="24"/>
                <w:szCs w:val="24"/>
              </w:rPr>
              <w:t xml:space="preserve"> et al</w:t>
            </w:r>
            <w:r w:rsidRPr="00E80387">
              <w:rPr>
                <w:rFonts w:ascii="Times New Roman" w:hAnsi="Times New Roman" w:cs="Times New Roman"/>
                <w:noProof/>
                <w:sz w:val="24"/>
                <w:szCs w:val="24"/>
              </w:rPr>
              <w:t>, 2016)</w:t>
            </w:r>
          </w:p>
        </w:tc>
      </w:tr>
      <w:tr w:rsidR="00AB5F0A" w:rsidTr="006216AE">
        <w:tc>
          <w:tcPr>
            <w:tcW w:w="2394" w:type="dxa"/>
          </w:tcPr>
          <w:p w:rsidR="00AB5F0A" w:rsidRDefault="00AB5F0A" w:rsidP="006216AE">
            <w:pPr>
              <w:spacing w:line="480" w:lineRule="auto"/>
              <w:rPr>
                <w:rFonts w:ascii="Times New Roman" w:hAnsi="Times New Roman" w:cs="Times New Roman"/>
                <w:sz w:val="24"/>
                <w:szCs w:val="24"/>
              </w:rPr>
            </w:pPr>
            <w:r>
              <w:rPr>
                <w:rFonts w:ascii="Times New Roman" w:hAnsi="Times New Roman" w:cs="Times New Roman"/>
                <w:sz w:val="24"/>
                <w:szCs w:val="24"/>
              </w:rPr>
              <w:t>Antioxidation</w:t>
            </w:r>
          </w:p>
        </w:tc>
        <w:tc>
          <w:tcPr>
            <w:tcW w:w="2394" w:type="dxa"/>
          </w:tcPr>
          <w:p w:rsidR="00AB5F0A" w:rsidRDefault="00AB5F0A" w:rsidP="006216AE">
            <w:pPr>
              <w:spacing w:line="480" w:lineRule="auto"/>
              <w:rPr>
                <w:rFonts w:ascii="Times New Roman" w:hAnsi="Times New Roman" w:cs="Times New Roman"/>
                <w:sz w:val="24"/>
                <w:szCs w:val="24"/>
              </w:rPr>
            </w:pPr>
            <w:r>
              <w:rPr>
                <w:rFonts w:ascii="Times New Roman" w:hAnsi="Times New Roman" w:cs="Times New Roman"/>
                <w:sz w:val="24"/>
                <w:szCs w:val="24"/>
              </w:rPr>
              <w:t>Reduced oxidative stress by 23%</w:t>
            </w:r>
          </w:p>
        </w:tc>
        <w:tc>
          <w:tcPr>
            <w:tcW w:w="2394" w:type="dxa"/>
          </w:tcPr>
          <w:p w:rsidR="00AB5F0A" w:rsidRDefault="00407C61" w:rsidP="006216AE">
            <w:pPr>
              <w:spacing w:line="480" w:lineRule="auto"/>
              <w:rPr>
                <w:rFonts w:ascii="Times New Roman" w:hAnsi="Times New Roman" w:cs="Times New Roman"/>
                <w:sz w:val="24"/>
                <w:szCs w:val="24"/>
              </w:rPr>
            </w:pPr>
            <w:r w:rsidRPr="00EB1F40">
              <w:rPr>
                <w:rFonts w:ascii="Times New Roman" w:hAnsi="Times New Roman" w:cs="Times New Roman"/>
                <w:noProof/>
                <w:sz w:val="24"/>
                <w:szCs w:val="24"/>
              </w:rPr>
              <w:t>(Rodriguez-Garcia</w:t>
            </w:r>
            <w:r>
              <w:rPr>
                <w:rFonts w:ascii="Times New Roman" w:hAnsi="Times New Roman" w:cs="Times New Roman"/>
                <w:noProof/>
                <w:sz w:val="24"/>
                <w:szCs w:val="24"/>
              </w:rPr>
              <w:t xml:space="preserve"> et al</w:t>
            </w:r>
            <w:r w:rsidRPr="00EB1F40">
              <w:rPr>
                <w:rFonts w:ascii="Times New Roman" w:hAnsi="Times New Roman" w:cs="Times New Roman"/>
                <w:noProof/>
                <w:sz w:val="24"/>
                <w:szCs w:val="24"/>
              </w:rPr>
              <w:t>, 2016)</w:t>
            </w:r>
            <w:r w:rsidR="00D82F71">
              <w:rPr>
                <w:rFonts w:ascii="Times New Roman" w:hAnsi="Times New Roman" w:cs="Times New Roman"/>
                <w:noProof/>
                <w:sz w:val="24"/>
                <w:szCs w:val="24"/>
              </w:rPr>
              <w:t xml:space="preserve"> </w:t>
            </w:r>
            <w:r w:rsidR="00D82F71" w:rsidRPr="00D82F71">
              <w:rPr>
                <w:rFonts w:ascii="Times New Roman" w:hAnsi="Times New Roman" w:cs="Times New Roman"/>
                <w:noProof/>
                <w:sz w:val="24"/>
                <w:szCs w:val="24"/>
              </w:rPr>
              <w:t>(Schuetz, 2016)</w:t>
            </w:r>
          </w:p>
        </w:tc>
      </w:tr>
      <w:tr w:rsidR="00AB5F0A" w:rsidTr="006216AE">
        <w:tc>
          <w:tcPr>
            <w:tcW w:w="2394" w:type="dxa"/>
          </w:tcPr>
          <w:p w:rsidR="00AB5F0A" w:rsidRDefault="00AB5F0A" w:rsidP="006216AE">
            <w:pPr>
              <w:spacing w:line="480" w:lineRule="auto"/>
              <w:rPr>
                <w:rFonts w:ascii="Times New Roman" w:hAnsi="Times New Roman" w:cs="Times New Roman"/>
                <w:sz w:val="24"/>
                <w:szCs w:val="24"/>
              </w:rPr>
            </w:pPr>
            <w:r>
              <w:rPr>
                <w:rFonts w:ascii="Times New Roman" w:hAnsi="Times New Roman" w:cs="Times New Roman"/>
                <w:sz w:val="24"/>
                <w:szCs w:val="24"/>
              </w:rPr>
              <w:t xml:space="preserve">Antibacterial </w:t>
            </w:r>
            <w:r w:rsidR="00D174B4">
              <w:rPr>
                <w:rFonts w:ascii="Times New Roman" w:hAnsi="Times New Roman" w:cs="Times New Roman"/>
                <w:sz w:val="24"/>
                <w:szCs w:val="24"/>
              </w:rPr>
              <w:t>activity</w:t>
            </w:r>
          </w:p>
        </w:tc>
        <w:tc>
          <w:tcPr>
            <w:tcW w:w="2394" w:type="dxa"/>
          </w:tcPr>
          <w:p w:rsidR="00AB5F0A" w:rsidRDefault="00AB5F0A" w:rsidP="006216AE">
            <w:pPr>
              <w:spacing w:line="480" w:lineRule="auto"/>
              <w:rPr>
                <w:rFonts w:ascii="Times New Roman" w:hAnsi="Times New Roman" w:cs="Times New Roman"/>
                <w:sz w:val="24"/>
                <w:szCs w:val="24"/>
              </w:rPr>
            </w:pPr>
            <w:r>
              <w:rPr>
                <w:rFonts w:ascii="Times New Roman" w:hAnsi="Times New Roman" w:cs="Times New Roman"/>
                <w:sz w:val="24"/>
                <w:szCs w:val="24"/>
              </w:rPr>
              <w:t>Kills 70% of all gram</w:t>
            </w:r>
            <w:r w:rsidR="00EB1F40">
              <w:rPr>
                <w:rFonts w:ascii="Times New Roman" w:hAnsi="Times New Roman" w:cs="Times New Roman"/>
                <w:sz w:val="24"/>
                <w:szCs w:val="24"/>
              </w:rPr>
              <w:t>-</w:t>
            </w:r>
            <w:r>
              <w:rPr>
                <w:rFonts w:ascii="Times New Roman" w:hAnsi="Times New Roman" w:cs="Times New Roman"/>
                <w:sz w:val="24"/>
                <w:szCs w:val="24"/>
              </w:rPr>
              <w:t xml:space="preserve"> positive and </w:t>
            </w:r>
            <w:r w:rsidR="00EB1F40">
              <w:rPr>
                <w:rFonts w:ascii="Times New Roman" w:hAnsi="Times New Roman" w:cs="Times New Roman"/>
                <w:sz w:val="24"/>
                <w:szCs w:val="24"/>
              </w:rPr>
              <w:t>gram-negative</w:t>
            </w:r>
            <w:r>
              <w:rPr>
                <w:rFonts w:ascii="Times New Roman" w:hAnsi="Times New Roman" w:cs="Times New Roman"/>
                <w:sz w:val="24"/>
                <w:szCs w:val="24"/>
              </w:rPr>
              <w:t xml:space="preserve"> bacteria</w:t>
            </w:r>
          </w:p>
        </w:tc>
        <w:tc>
          <w:tcPr>
            <w:tcW w:w="2394" w:type="dxa"/>
          </w:tcPr>
          <w:p w:rsidR="00AB5F0A" w:rsidRDefault="00D82F71" w:rsidP="006216AE">
            <w:pPr>
              <w:spacing w:line="480" w:lineRule="auto"/>
              <w:rPr>
                <w:rFonts w:ascii="Times New Roman" w:hAnsi="Times New Roman" w:cs="Times New Roman"/>
                <w:sz w:val="24"/>
                <w:szCs w:val="24"/>
              </w:rPr>
            </w:pPr>
            <w:r w:rsidRPr="00D82F71">
              <w:rPr>
                <w:rFonts w:ascii="Times New Roman" w:hAnsi="Times New Roman" w:cs="Times New Roman"/>
                <w:noProof/>
                <w:sz w:val="24"/>
                <w:szCs w:val="24"/>
              </w:rPr>
              <w:t>(Amit Baran, 2016)</w:t>
            </w:r>
            <w:r>
              <w:rPr>
                <w:rFonts w:ascii="Times New Roman" w:hAnsi="Times New Roman" w:cs="Times New Roman"/>
                <w:noProof/>
                <w:sz w:val="24"/>
                <w:szCs w:val="24"/>
              </w:rPr>
              <w:t xml:space="preserve"> </w:t>
            </w:r>
            <w:r w:rsidRPr="00D82F71">
              <w:rPr>
                <w:rFonts w:ascii="Times New Roman" w:hAnsi="Times New Roman" w:cs="Times New Roman"/>
                <w:noProof/>
                <w:sz w:val="24"/>
                <w:szCs w:val="24"/>
              </w:rPr>
              <w:t>(Kissels</w:t>
            </w:r>
            <w:r>
              <w:rPr>
                <w:rFonts w:ascii="Times New Roman" w:hAnsi="Times New Roman" w:cs="Times New Roman"/>
                <w:noProof/>
                <w:sz w:val="24"/>
                <w:szCs w:val="24"/>
              </w:rPr>
              <w:t xml:space="preserve"> et al</w:t>
            </w:r>
            <w:r w:rsidRPr="00D82F71">
              <w:rPr>
                <w:rFonts w:ascii="Times New Roman" w:hAnsi="Times New Roman" w:cs="Times New Roman"/>
                <w:noProof/>
                <w:sz w:val="24"/>
                <w:szCs w:val="24"/>
              </w:rPr>
              <w:t>, 2017)</w:t>
            </w:r>
            <w:r>
              <w:rPr>
                <w:rFonts w:ascii="Times New Roman" w:hAnsi="Times New Roman" w:cs="Times New Roman"/>
                <w:noProof/>
                <w:sz w:val="24"/>
                <w:szCs w:val="24"/>
              </w:rPr>
              <w:t xml:space="preserve"> </w:t>
            </w:r>
            <w:r w:rsidRPr="00D82F71">
              <w:rPr>
                <w:rFonts w:ascii="Times New Roman" w:hAnsi="Times New Roman" w:cs="Times New Roman"/>
                <w:noProof/>
                <w:sz w:val="24"/>
                <w:szCs w:val="24"/>
              </w:rPr>
              <w:t>(Moore</w:t>
            </w:r>
            <w:r>
              <w:rPr>
                <w:rFonts w:ascii="Times New Roman" w:hAnsi="Times New Roman" w:cs="Times New Roman"/>
                <w:noProof/>
                <w:sz w:val="24"/>
                <w:szCs w:val="24"/>
              </w:rPr>
              <w:t xml:space="preserve"> et al</w:t>
            </w:r>
            <w:r w:rsidRPr="00D82F71">
              <w:rPr>
                <w:rFonts w:ascii="Times New Roman" w:hAnsi="Times New Roman" w:cs="Times New Roman"/>
                <w:noProof/>
                <w:sz w:val="24"/>
                <w:szCs w:val="24"/>
              </w:rPr>
              <w:t>, 2016)</w:t>
            </w:r>
            <w:r>
              <w:rPr>
                <w:rFonts w:ascii="Times New Roman" w:hAnsi="Times New Roman" w:cs="Times New Roman"/>
                <w:noProof/>
                <w:sz w:val="24"/>
                <w:szCs w:val="24"/>
              </w:rPr>
              <w:t xml:space="preserve"> </w:t>
            </w:r>
            <w:r w:rsidRPr="00D82F71">
              <w:rPr>
                <w:rFonts w:ascii="Times New Roman" w:hAnsi="Times New Roman" w:cs="Times New Roman"/>
                <w:noProof/>
                <w:sz w:val="24"/>
                <w:szCs w:val="24"/>
              </w:rPr>
              <w:t>(Pesavento</w:t>
            </w:r>
            <w:r>
              <w:rPr>
                <w:rFonts w:ascii="Times New Roman" w:hAnsi="Times New Roman" w:cs="Times New Roman"/>
                <w:noProof/>
                <w:sz w:val="24"/>
                <w:szCs w:val="24"/>
              </w:rPr>
              <w:t xml:space="preserve"> et al</w:t>
            </w:r>
            <w:r w:rsidRPr="00D82F71">
              <w:rPr>
                <w:rFonts w:ascii="Times New Roman" w:hAnsi="Times New Roman" w:cs="Times New Roman"/>
                <w:noProof/>
                <w:sz w:val="24"/>
                <w:szCs w:val="24"/>
              </w:rPr>
              <w:t>, 2015)</w:t>
            </w:r>
            <w:r>
              <w:rPr>
                <w:rFonts w:ascii="Times New Roman" w:hAnsi="Times New Roman" w:cs="Times New Roman"/>
                <w:noProof/>
                <w:sz w:val="24"/>
                <w:szCs w:val="24"/>
              </w:rPr>
              <w:t xml:space="preserve"> </w:t>
            </w:r>
            <w:r w:rsidRPr="00D82F71">
              <w:rPr>
                <w:rFonts w:ascii="Times New Roman" w:hAnsi="Times New Roman" w:cs="Times New Roman"/>
                <w:noProof/>
                <w:sz w:val="24"/>
                <w:szCs w:val="24"/>
              </w:rPr>
              <w:t>(Rodriguez-Garcia</w:t>
            </w:r>
            <w:r>
              <w:rPr>
                <w:rFonts w:ascii="Times New Roman" w:hAnsi="Times New Roman" w:cs="Times New Roman"/>
                <w:noProof/>
                <w:sz w:val="24"/>
                <w:szCs w:val="24"/>
              </w:rPr>
              <w:t xml:space="preserve"> et al</w:t>
            </w:r>
            <w:r w:rsidRPr="00D82F71">
              <w:rPr>
                <w:rFonts w:ascii="Times New Roman" w:hAnsi="Times New Roman" w:cs="Times New Roman"/>
                <w:noProof/>
                <w:sz w:val="24"/>
                <w:szCs w:val="24"/>
              </w:rPr>
              <w:t>, 2016)</w:t>
            </w:r>
          </w:p>
        </w:tc>
      </w:tr>
      <w:tr w:rsidR="00AB5F0A" w:rsidTr="006216AE">
        <w:tc>
          <w:tcPr>
            <w:tcW w:w="2394" w:type="dxa"/>
          </w:tcPr>
          <w:p w:rsidR="00AB5F0A" w:rsidRDefault="00AB5F0A" w:rsidP="006216AE">
            <w:pPr>
              <w:spacing w:line="480" w:lineRule="auto"/>
              <w:rPr>
                <w:rFonts w:ascii="Times New Roman" w:hAnsi="Times New Roman" w:cs="Times New Roman"/>
                <w:sz w:val="24"/>
                <w:szCs w:val="24"/>
              </w:rPr>
            </w:pPr>
            <w:r>
              <w:rPr>
                <w:rFonts w:ascii="Times New Roman" w:hAnsi="Times New Roman" w:cs="Times New Roman"/>
                <w:sz w:val="24"/>
                <w:szCs w:val="24"/>
              </w:rPr>
              <w:t xml:space="preserve">Antiviral </w:t>
            </w:r>
            <w:r w:rsidR="00D174B4">
              <w:rPr>
                <w:rFonts w:ascii="Times New Roman" w:hAnsi="Times New Roman" w:cs="Times New Roman"/>
                <w:sz w:val="24"/>
                <w:szCs w:val="24"/>
              </w:rPr>
              <w:t>activity</w:t>
            </w:r>
          </w:p>
        </w:tc>
        <w:tc>
          <w:tcPr>
            <w:tcW w:w="2394" w:type="dxa"/>
          </w:tcPr>
          <w:p w:rsidR="00AB5F0A" w:rsidRDefault="00AB5F0A" w:rsidP="006216AE">
            <w:pPr>
              <w:spacing w:line="480" w:lineRule="auto"/>
              <w:rPr>
                <w:rFonts w:ascii="Times New Roman" w:hAnsi="Times New Roman" w:cs="Times New Roman"/>
                <w:sz w:val="24"/>
                <w:szCs w:val="24"/>
              </w:rPr>
            </w:pPr>
            <w:r>
              <w:rPr>
                <w:rFonts w:ascii="Times New Roman" w:hAnsi="Times New Roman" w:cs="Times New Roman"/>
                <w:sz w:val="24"/>
                <w:szCs w:val="24"/>
              </w:rPr>
              <w:t>90% of the herpes simplex virus</w:t>
            </w:r>
          </w:p>
        </w:tc>
        <w:tc>
          <w:tcPr>
            <w:tcW w:w="2394" w:type="dxa"/>
          </w:tcPr>
          <w:p w:rsidR="00AB5F0A" w:rsidRDefault="000126B0" w:rsidP="006216AE">
            <w:pPr>
              <w:spacing w:line="480" w:lineRule="auto"/>
              <w:rPr>
                <w:rFonts w:ascii="Times New Roman" w:hAnsi="Times New Roman" w:cs="Times New Roman"/>
                <w:sz w:val="24"/>
                <w:szCs w:val="24"/>
              </w:rPr>
            </w:pPr>
            <w:r w:rsidRPr="00D82F71">
              <w:rPr>
                <w:rFonts w:ascii="Times New Roman" w:hAnsi="Times New Roman" w:cs="Times New Roman"/>
                <w:noProof/>
                <w:sz w:val="24"/>
                <w:szCs w:val="24"/>
              </w:rPr>
              <w:t>(Santoyo</w:t>
            </w:r>
            <w:r>
              <w:rPr>
                <w:rFonts w:ascii="Times New Roman" w:hAnsi="Times New Roman" w:cs="Times New Roman"/>
                <w:noProof/>
                <w:sz w:val="24"/>
                <w:szCs w:val="24"/>
              </w:rPr>
              <w:t xml:space="preserve"> et al</w:t>
            </w:r>
            <w:r w:rsidRPr="00D82F71">
              <w:rPr>
                <w:rFonts w:ascii="Times New Roman" w:hAnsi="Times New Roman" w:cs="Times New Roman"/>
                <w:noProof/>
                <w:sz w:val="24"/>
                <w:szCs w:val="24"/>
              </w:rPr>
              <w:t>, 2014)</w:t>
            </w:r>
          </w:p>
        </w:tc>
      </w:tr>
      <w:tr w:rsidR="00AB5F0A" w:rsidTr="006216AE">
        <w:tc>
          <w:tcPr>
            <w:tcW w:w="2394" w:type="dxa"/>
          </w:tcPr>
          <w:p w:rsidR="00AB5F0A" w:rsidRDefault="00AB5F0A" w:rsidP="006216AE">
            <w:pPr>
              <w:spacing w:line="480" w:lineRule="auto"/>
              <w:rPr>
                <w:rFonts w:ascii="Times New Roman" w:hAnsi="Times New Roman" w:cs="Times New Roman"/>
                <w:sz w:val="24"/>
                <w:szCs w:val="24"/>
              </w:rPr>
            </w:pPr>
            <w:r>
              <w:rPr>
                <w:rFonts w:ascii="Times New Roman" w:hAnsi="Times New Roman" w:cs="Times New Roman"/>
                <w:sz w:val="24"/>
                <w:szCs w:val="24"/>
              </w:rPr>
              <w:t xml:space="preserve">Stimulant </w:t>
            </w:r>
            <w:r w:rsidR="00D174B4">
              <w:rPr>
                <w:rFonts w:ascii="Times New Roman" w:hAnsi="Times New Roman" w:cs="Times New Roman"/>
                <w:sz w:val="24"/>
                <w:szCs w:val="24"/>
              </w:rPr>
              <w:t>properties</w:t>
            </w:r>
          </w:p>
        </w:tc>
        <w:tc>
          <w:tcPr>
            <w:tcW w:w="2394" w:type="dxa"/>
          </w:tcPr>
          <w:p w:rsidR="00AB5F0A" w:rsidRDefault="00270DDE" w:rsidP="006216AE">
            <w:pPr>
              <w:spacing w:line="480" w:lineRule="auto"/>
              <w:rPr>
                <w:rFonts w:ascii="Times New Roman" w:hAnsi="Times New Roman" w:cs="Times New Roman"/>
                <w:sz w:val="24"/>
                <w:szCs w:val="24"/>
              </w:rPr>
            </w:pPr>
            <w:r>
              <w:rPr>
                <w:rFonts w:ascii="Times New Roman" w:hAnsi="Times New Roman" w:cs="Times New Roman"/>
                <w:sz w:val="24"/>
                <w:szCs w:val="24"/>
              </w:rPr>
              <w:t>No change</w:t>
            </w:r>
          </w:p>
        </w:tc>
        <w:tc>
          <w:tcPr>
            <w:tcW w:w="2394" w:type="dxa"/>
          </w:tcPr>
          <w:p w:rsidR="00AB5F0A" w:rsidRDefault="000126B0" w:rsidP="006216AE">
            <w:pPr>
              <w:spacing w:line="480" w:lineRule="auto"/>
              <w:rPr>
                <w:rFonts w:ascii="Times New Roman" w:hAnsi="Times New Roman" w:cs="Times New Roman"/>
                <w:sz w:val="24"/>
                <w:szCs w:val="24"/>
              </w:rPr>
            </w:pPr>
            <w:r w:rsidRPr="00D82F71">
              <w:rPr>
                <w:rFonts w:ascii="Times New Roman" w:hAnsi="Times New Roman" w:cs="Times New Roman"/>
                <w:noProof/>
                <w:sz w:val="24"/>
                <w:szCs w:val="24"/>
              </w:rPr>
              <w:t>(Ameh</w:t>
            </w:r>
            <w:r>
              <w:rPr>
                <w:rFonts w:ascii="Times New Roman" w:hAnsi="Times New Roman" w:cs="Times New Roman"/>
                <w:noProof/>
                <w:sz w:val="24"/>
                <w:szCs w:val="24"/>
              </w:rPr>
              <w:t xml:space="preserve"> et al</w:t>
            </w:r>
            <w:r w:rsidRPr="00D82F71">
              <w:rPr>
                <w:rFonts w:ascii="Times New Roman" w:hAnsi="Times New Roman" w:cs="Times New Roman"/>
                <w:noProof/>
                <w:sz w:val="24"/>
                <w:szCs w:val="24"/>
              </w:rPr>
              <w:t>, 2015)</w:t>
            </w:r>
          </w:p>
        </w:tc>
      </w:tr>
      <w:tr w:rsidR="00AB5F0A" w:rsidTr="006216AE">
        <w:tc>
          <w:tcPr>
            <w:tcW w:w="2394" w:type="dxa"/>
          </w:tcPr>
          <w:p w:rsidR="00AB5F0A" w:rsidRDefault="00AB5F0A" w:rsidP="006216AE">
            <w:pPr>
              <w:spacing w:line="480" w:lineRule="auto"/>
              <w:rPr>
                <w:rFonts w:ascii="Times New Roman" w:hAnsi="Times New Roman" w:cs="Times New Roman"/>
                <w:sz w:val="24"/>
                <w:szCs w:val="24"/>
              </w:rPr>
            </w:pPr>
            <w:r>
              <w:rPr>
                <w:rFonts w:ascii="Times New Roman" w:hAnsi="Times New Roman" w:cs="Times New Roman"/>
                <w:sz w:val="24"/>
                <w:szCs w:val="24"/>
              </w:rPr>
              <w:t>Heart health</w:t>
            </w:r>
          </w:p>
        </w:tc>
        <w:tc>
          <w:tcPr>
            <w:tcW w:w="2394" w:type="dxa"/>
          </w:tcPr>
          <w:p w:rsidR="00AB5F0A" w:rsidRDefault="00AB5F0A" w:rsidP="006216AE">
            <w:pPr>
              <w:spacing w:line="480" w:lineRule="auto"/>
              <w:rPr>
                <w:rFonts w:ascii="Times New Roman" w:hAnsi="Times New Roman" w:cs="Times New Roman"/>
                <w:sz w:val="24"/>
                <w:szCs w:val="24"/>
              </w:rPr>
            </w:pPr>
            <w:r>
              <w:rPr>
                <w:rFonts w:ascii="Times New Roman" w:hAnsi="Times New Roman" w:cs="Times New Roman"/>
                <w:sz w:val="24"/>
                <w:szCs w:val="24"/>
              </w:rPr>
              <w:t>No change</w:t>
            </w:r>
          </w:p>
        </w:tc>
        <w:tc>
          <w:tcPr>
            <w:tcW w:w="2394" w:type="dxa"/>
          </w:tcPr>
          <w:p w:rsidR="00AB5F0A" w:rsidRDefault="000126B0" w:rsidP="006216AE">
            <w:pPr>
              <w:spacing w:line="480" w:lineRule="auto"/>
              <w:rPr>
                <w:rFonts w:ascii="Times New Roman" w:hAnsi="Times New Roman" w:cs="Times New Roman"/>
                <w:sz w:val="24"/>
                <w:szCs w:val="24"/>
              </w:rPr>
            </w:pPr>
            <w:r w:rsidRPr="00D82F71">
              <w:rPr>
                <w:rFonts w:ascii="Times New Roman" w:hAnsi="Times New Roman" w:cs="Times New Roman"/>
                <w:noProof/>
                <w:sz w:val="24"/>
                <w:szCs w:val="24"/>
              </w:rPr>
              <w:t>(Ameh</w:t>
            </w:r>
            <w:r>
              <w:rPr>
                <w:rFonts w:ascii="Times New Roman" w:hAnsi="Times New Roman" w:cs="Times New Roman"/>
                <w:noProof/>
                <w:sz w:val="24"/>
                <w:szCs w:val="24"/>
              </w:rPr>
              <w:t xml:space="preserve"> et al</w:t>
            </w:r>
            <w:r w:rsidRPr="00D82F71">
              <w:rPr>
                <w:rFonts w:ascii="Times New Roman" w:hAnsi="Times New Roman" w:cs="Times New Roman"/>
                <w:noProof/>
                <w:sz w:val="24"/>
                <w:szCs w:val="24"/>
              </w:rPr>
              <w:t>, 2015)</w:t>
            </w:r>
          </w:p>
        </w:tc>
      </w:tr>
      <w:tr w:rsidR="003A2233" w:rsidTr="006216AE">
        <w:tc>
          <w:tcPr>
            <w:tcW w:w="2394" w:type="dxa"/>
          </w:tcPr>
          <w:p w:rsidR="003A2233" w:rsidRDefault="003A2233" w:rsidP="006216AE">
            <w:pPr>
              <w:spacing w:line="480" w:lineRule="auto"/>
              <w:rPr>
                <w:rFonts w:ascii="Times New Roman" w:hAnsi="Times New Roman" w:cs="Times New Roman"/>
                <w:sz w:val="24"/>
                <w:szCs w:val="24"/>
              </w:rPr>
            </w:pPr>
            <w:r>
              <w:rPr>
                <w:rFonts w:ascii="Times New Roman" w:hAnsi="Times New Roman" w:cs="Times New Roman"/>
                <w:sz w:val="24"/>
                <w:szCs w:val="24"/>
              </w:rPr>
              <w:t>Gastrointestinal disorders</w:t>
            </w:r>
          </w:p>
        </w:tc>
        <w:tc>
          <w:tcPr>
            <w:tcW w:w="2394" w:type="dxa"/>
          </w:tcPr>
          <w:p w:rsidR="003A2233" w:rsidRDefault="003A2233" w:rsidP="006216AE">
            <w:pPr>
              <w:spacing w:line="480" w:lineRule="auto"/>
              <w:rPr>
                <w:rFonts w:ascii="Times New Roman" w:hAnsi="Times New Roman" w:cs="Times New Roman"/>
                <w:sz w:val="24"/>
                <w:szCs w:val="24"/>
              </w:rPr>
            </w:pPr>
            <w:r>
              <w:rPr>
                <w:rFonts w:ascii="Times New Roman" w:hAnsi="Times New Roman" w:cs="Times New Roman"/>
                <w:sz w:val="24"/>
                <w:szCs w:val="24"/>
              </w:rPr>
              <w:t>70% reduction</w:t>
            </w:r>
          </w:p>
        </w:tc>
        <w:tc>
          <w:tcPr>
            <w:tcW w:w="2394" w:type="dxa"/>
          </w:tcPr>
          <w:p w:rsidR="003A2233" w:rsidRDefault="000126B0" w:rsidP="006216AE">
            <w:pPr>
              <w:spacing w:line="480" w:lineRule="auto"/>
              <w:rPr>
                <w:rFonts w:ascii="Times New Roman" w:hAnsi="Times New Roman" w:cs="Times New Roman"/>
                <w:sz w:val="24"/>
                <w:szCs w:val="24"/>
              </w:rPr>
            </w:pPr>
            <w:r w:rsidRPr="00D82F71">
              <w:rPr>
                <w:rFonts w:ascii="Times New Roman" w:hAnsi="Times New Roman" w:cs="Times New Roman"/>
                <w:noProof/>
                <w:sz w:val="24"/>
                <w:szCs w:val="24"/>
              </w:rPr>
              <w:t>(Katsoulos</w:t>
            </w:r>
            <w:r>
              <w:rPr>
                <w:rFonts w:ascii="Times New Roman" w:hAnsi="Times New Roman" w:cs="Times New Roman"/>
                <w:noProof/>
                <w:sz w:val="24"/>
                <w:szCs w:val="24"/>
              </w:rPr>
              <w:t xml:space="preserve"> et al</w:t>
            </w:r>
            <w:r w:rsidRPr="00D82F71">
              <w:rPr>
                <w:rFonts w:ascii="Times New Roman" w:hAnsi="Times New Roman" w:cs="Times New Roman"/>
                <w:noProof/>
                <w:sz w:val="24"/>
                <w:szCs w:val="24"/>
              </w:rPr>
              <w:t>, 2017)</w:t>
            </w:r>
            <w:r>
              <w:rPr>
                <w:rFonts w:ascii="Times New Roman" w:hAnsi="Times New Roman" w:cs="Times New Roman"/>
                <w:noProof/>
                <w:sz w:val="24"/>
                <w:szCs w:val="24"/>
              </w:rPr>
              <w:t xml:space="preserve"> </w:t>
            </w:r>
            <w:r w:rsidRPr="00D82F71">
              <w:rPr>
                <w:rFonts w:ascii="Times New Roman" w:hAnsi="Times New Roman" w:cs="Times New Roman"/>
                <w:noProof/>
                <w:sz w:val="24"/>
                <w:szCs w:val="24"/>
              </w:rPr>
              <w:t>(Pesavento</w:t>
            </w:r>
            <w:r>
              <w:rPr>
                <w:rFonts w:ascii="Times New Roman" w:hAnsi="Times New Roman" w:cs="Times New Roman"/>
                <w:noProof/>
                <w:sz w:val="24"/>
                <w:szCs w:val="24"/>
              </w:rPr>
              <w:t xml:space="preserve"> et al</w:t>
            </w:r>
            <w:r w:rsidRPr="00D82F71">
              <w:rPr>
                <w:rFonts w:ascii="Times New Roman" w:hAnsi="Times New Roman" w:cs="Times New Roman"/>
                <w:noProof/>
                <w:sz w:val="24"/>
                <w:szCs w:val="24"/>
              </w:rPr>
              <w:t>, 2015)</w:t>
            </w:r>
          </w:p>
        </w:tc>
      </w:tr>
      <w:tr w:rsidR="00270DDE" w:rsidTr="006216AE">
        <w:tc>
          <w:tcPr>
            <w:tcW w:w="2394" w:type="dxa"/>
          </w:tcPr>
          <w:p w:rsidR="00270DDE" w:rsidRDefault="00270DDE" w:rsidP="006216AE">
            <w:pPr>
              <w:spacing w:line="480" w:lineRule="auto"/>
              <w:rPr>
                <w:rFonts w:ascii="Times New Roman" w:hAnsi="Times New Roman" w:cs="Times New Roman"/>
                <w:sz w:val="24"/>
                <w:szCs w:val="24"/>
              </w:rPr>
            </w:pPr>
            <w:r>
              <w:rPr>
                <w:rFonts w:ascii="Times New Roman" w:hAnsi="Times New Roman" w:cs="Times New Roman"/>
                <w:sz w:val="24"/>
                <w:szCs w:val="24"/>
              </w:rPr>
              <w:t>Respiratory tract ailments</w:t>
            </w:r>
          </w:p>
        </w:tc>
        <w:tc>
          <w:tcPr>
            <w:tcW w:w="2394" w:type="dxa"/>
          </w:tcPr>
          <w:p w:rsidR="00270DDE" w:rsidRDefault="00270DDE" w:rsidP="006216AE">
            <w:pPr>
              <w:spacing w:line="480" w:lineRule="auto"/>
              <w:rPr>
                <w:rFonts w:ascii="Times New Roman" w:hAnsi="Times New Roman" w:cs="Times New Roman"/>
                <w:sz w:val="24"/>
                <w:szCs w:val="24"/>
              </w:rPr>
            </w:pPr>
            <w:r>
              <w:rPr>
                <w:rFonts w:ascii="Times New Roman" w:hAnsi="Times New Roman" w:cs="Times New Roman"/>
                <w:sz w:val="24"/>
                <w:szCs w:val="24"/>
              </w:rPr>
              <w:t>30% reduction</w:t>
            </w:r>
          </w:p>
        </w:tc>
        <w:tc>
          <w:tcPr>
            <w:tcW w:w="2394" w:type="dxa"/>
          </w:tcPr>
          <w:p w:rsidR="00270DDE" w:rsidRDefault="000126B0" w:rsidP="006216AE">
            <w:pPr>
              <w:spacing w:line="480" w:lineRule="auto"/>
              <w:rPr>
                <w:rFonts w:ascii="Times New Roman" w:hAnsi="Times New Roman" w:cs="Times New Roman"/>
                <w:sz w:val="24"/>
                <w:szCs w:val="24"/>
              </w:rPr>
            </w:pPr>
            <w:r w:rsidRPr="00D82F71">
              <w:rPr>
                <w:rFonts w:ascii="Times New Roman" w:hAnsi="Times New Roman" w:cs="Times New Roman"/>
                <w:noProof/>
                <w:sz w:val="24"/>
                <w:szCs w:val="24"/>
              </w:rPr>
              <w:t>(Kissels</w:t>
            </w:r>
            <w:r>
              <w:rPr>
                <w:rFonts w:ascii="Times New Roman" w:hAnsi="Times New Roman" w:cs="Times New Roman"/>
                <w:noProof/>
                <w:sz w:val="24"/>
                <w:szCs w:val="24"/>
              </w:rPr>
              <w:t xml:space="preserve"> et al</w:t>
            </w:r>
            <w:r w:rsidRPr="00D82F71">
              <w:rPr>
                <w:rFonts w:ascii="Times New Roman" w:hAnsi="Times New Roman" w:cs="Times New Roman"/>
                <w:noProof/>
                <w:sz w:val="24"/>
                <w:szCs w:val="24"/>
              </w:rPr>
              <w:t>, 2017)</w:t>
            </w:r>
          </w:p>
        </w:tc>
      </w:tr>
      <w:tr w:rsidR="006329B5" w:rsidTr="006216AE">
        <w:tc>
          <w:tcPr>
            <w:tcW w:w="2394" w:type="dxa"/>
          </w:tcPr>
          <w:p w:rsidR="006329B5" w:rsidRDefault="006329B5" w:rsidP="006216AE">
            <w:pPr>
              <w:spacing w:line="480" w:lineRule="auto"/>
              <w:rPr>
                <w:rFonts w:ascii="Times New Roman" w:hAnsi="Times New Roman" w:cs="Times New Roman"/>
                <w:sz w:val="24"/>
                <w:szCs w:val="24"/>
              </w:rPr>
            </w:pPr>
            <w:r>
              <w:rPr>
                <w:rFonts w:ascii="Times New Roman" w:hAnsi="Times New Roman" w:cs="Times New Roman"/>
                <w:sz w:val="24"/>
                <w:szCs w:val="24"/>
              </w:rPr>
              <w:t xml:space="preserve">Bleeding disorder </w:t>
            </w:r>
            <w:r>
              <w:rPr>
                <w:rFonts w:ascii="Times New Roman" w:hAnsi="Times New Roman" w:cs="Times New Roman"/>
                <w:sz w:val="24"/>
                <w:szCs w:val="24"/>
              </w:rPr>
              <w:lastRenderedPageBreak/>
              <w:t>(</w:t>
            </w:r>
            <w:r w:rsidR="00D40227">
              <w:rPr>
                <w:rFonts w:ascii="Times New Roman" w:hAnsi="Times New Roman" w:cs="Times New Roman"/>
                <w:sz w:val="24"/>
                <w:szCs w:val="24"/>
              </w:rPr>
              <w:t>hemophilia</w:t>
            </w:r>
            <w:r>
              <w:rPr>
                <w:rFonts w:ascii="Times New Roman" w:hAnsi="Times New Roman" w:cs="Times New Roman"/>
                <w:sz w:val="24"/>
                <w:szCs w:val="24"/>
              </w:rPr>
              <w:t>)</w:t>
            </w:r>
          </w:p>
        </w:tc>
        <w:tc>
          <w:tcPr>
            <w:tcW w:w="2394" w:type="dxa"/>
          </w:tcPr>
          <w:p w:rsidR="006329B5" w:rsidRDefault="006329B5" w:rsidP="006216AE">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No healing </w:t>
            </w:r>
          </w:p>
        </w:tc>
        <w:tc>
          <w:tcPr>
            <w:tcW w:w="2394" w:type="dxa"/>
          </w:tcPr>
          <w:p w:rsidR="006329B5" w:rsidRDefault="000126B0" w:rsidP="006216AE">
            <w:pPr>
              <w:spacing w:line="480" w:lineRule="auto"/>
              <w:rPr>
                <w:rFonts w:ascii="Times New Roman" w:hAnsi="Times New Roman" w:cs="Times New Roman"/>
                <w:sz w:val="24"/>
                <w:szCs w:val="24"/>
              </w:rPr>
            </w:pPr>
            <w:r w:rsidRPr="00D82F71">
              <w:rPr>
                <w:rFonts w:ascii="Times New Roman" w:hAnsi="Times New Roman" w:cs="Times New Roman"/>
                <w:noProof/>
                <w:sz w:val="24"/>
                <w:szCs w:val="24"/>
              </w:rPr>
              <w:t>(Vazhacharickal</w:t>
            </w:r>
            <w:r>
              <w:rPr>
                <w:rFonts w:ascii="Times New Roman" w:hAnsi="Times New Roman" w:cs="Times New Roman"/>
                <w:noProof/>
                <w:sz w:val="24"/>
                <w:szCs w:val="24"/>
              </w:rPr>
              <w:t xml:space="preserve"> et al</w:t>
            </w:r>
            <w:r w:rsidRPr="00D82F71">
              <w:rPr>
                <w:rFonts w:ascii="Times New Roman" w:hAnsi="Times New Roman" w:cs="Times New Roman"/>
                <w:noProof/>
                <w:sz w:val="24"/>
                <w:szCs w:val="24"/>
              </w:rPr>
              <w:t xml:space="preserve">, </w:t>
            </w:r>
            <w:r w:rsidRPr="00D82F71">
              <w:rPr>
                <w:rFonts w:ascii="Times New Roman" w:hAnsi="Times New Roman" w:cs="Times New Roman"/>
                <w:noProof/>
                <w:sz w:val="24"/>
                <w:szCs w:val="24"/>
              </w:rPr>
              <w:lastRenderedPageBreak/>
              <w:t>2016)</w:t>
            </w:r>
          </w:p>
        </w:tc>
      </w:tr>
      <w:tr w:rsidR="00AB5F0A" w:rsidTr="006216AE">
        <w:tc>
          <w:tcPr>
            <w:tcW w:w="2394" w:type="dxa"/>
          </w:tcPr>
          <w:p w:rsidR="00AB5F0A" w:rsidRDefault="00AB5F0A" w:rsidP="006216AE">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Anti-cancer and anti-stroke properties </w:t>
            </w:r>
          </w:p>
        </w:tc>
        <w:tc>
          <w:tcPr>
            <w:tcW w:w="2394" w:type="dxa"/>
          </w:tcPr>
          <w:p w:rsidR="00AB5F0A" w:rsidRDefault="006329B5" w:rsidP="006216AE">
            <w:pPr>
              <w:spacing w:line="480" w:lineRule="auto"/>
              <w:rPr>
                <w:rFonts w:ascii="Times New Roman" w:hAnsi="Times New Roman" w:cs="Times New Roman"/>
                <w:sz w:val="24"/>
                <w:szCs w:val="24"/>
              </w:rPr>
            </w:pPr>
            <w:r>
              <w:rPr>
                <w:rFonts w:ascii="Times New Roman" w:hAnsi="Times New Roman" w:cs="Times New Roman"/>
                <w:sz w:val="24"/>
                <w:szCs w:val="24"/>
              </w:rPr>
              <w:t>3% reduction in prevalence</w:t>
            </w:r>
          </w:p>
        </w:tc>
        <w:tc>
          <w:tcPr>
            <w:tcW w:w="2394" w:type="dxa"/>
          </w:tcPr>
          <w:p w:rsidR="00AB5F0A" w:rsidRDefault="000126B0" w:rsidP="006216AE">
            <w:pPr>
              <w:spacing w:line="480" w:lineRule="auto"/>
              <w:rPr>
                <w:rFonts w:ascii="Times New Roman" w:hAnsi="Times New Roman" w:cs="Times New Roman"/>
                <w:sz w:val="24"/>
                <w:szCs w:val="24"/>
              </w:rPr>
            </w:pPr>
            <w:r w:rsidRPr="00D82F71">
              <w:rPr>
                <w:rFonts w:ascii="Times New Roman" w:hAnsi="Times New Roman" w:cs="Times New Roman"/>
                <w:noProof/>
                <w:sz w:val="24"/>
                <w:szCs w:val="24"/>
              </w:rPr>
              <w:t>(Kubatka</w:t>
            </w:r>
            <w:r>
              <w:rPr>
                <w:rFonts w:ascii="Times New Roman" w:hAnsi="Times New Roman" w:cs="Times New Roman"/>
                <w:noProof/>
                <w:sz w:val="24"/>
                <w:szCs w:val="24"/>
              </w:rPr>
              <w:t xml:space="preserve"> et al</w:t>
            </w:r>
            <w:r w:rsidRPr="00D82F71">
              <w:rPr>
                <w:rFonts w:ascii="Times New Roman" w:hAnsi="Times New Roman" w:cs="Times New Roman"/>
                <w:noProof/>
                <w:sz w:val="24"/>
                <w:szCs w:val="24"/>
              </w:rPr>
              <w:t>, 2017)</w:t>
            </w:r>
          </w:p>
        </w:tc>
      </w:tr>
    </w:tbl>
    <w:p w:rsidR="009D5CB2" w:rsidRDefault="009D5CB2" w:rsidP="009D5CB2">
      <w:pPr>
        <w:spacing w:line="480" w:lineRule="auto"/>
        <w:rPr>
          <w:rFonts w:ascii="Times New Roman" w:hAnsi="Times New Roman" w:cs="Times New Roman"/>
          <w:sz w:val="24"/>
          <w:szCs w:val="24"/>
        </w:rPr>
      </w:pPr>
    </w:p>
    <w:p w:rsidR="006E0B93" w:rsidRDefault="00FD4511" w:rsidP="009D5CB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Categories of the plant health effects based on the confidence that the information is </w:t>
      </w:r>
      <w:r w:rsidR="00C8132D">
        <w:rPr>
          <w:rFonts w:ascii="Times New Roman" w:hAnsi="Times New Roman" w:cs="Times New Roman"/>
          <w:sz w:val="24"/>
          <w:szCs w:val="24"/>
        </w:rPr>
        <w:t>accurate</w:t>
      </w:r>
      <w:r>
        <w:rPr>
          <w:rFonts w:ascii="Times New Roman" w:hAnsi="Times New Roman" w:cs="Times New Roman"/>
          <w:sz w:val="24"/>
          <w:szCs w:val="24"/>
        </w:rPr>
        <w:t xml:space="preserve"> are rated from 0 to 10 as displayed in the subsequent table below.</w:t>
      </w:r>
    </w:p>
    <w:tbl>
      <w:tblPr>
        <w:tblStyle w:val="TableGrid"/>
        <w:tblW w:w="0" w:type="auto"/>
        <w:tblLook w:val="04A0" w:firstRow="1" w:lastRow="0" w:firstColumn="1" w:lastColumn="0" w:noHBand="0" w:noVBand="1"/>
      </w:tblPr>
      <w:tblGrid>
        <w:gridCol w:w="4788"/>
        <w:gridCol w:w="4788"/>
      </w:tblGrid>
      <w:tr w:rsidR="00C8132D" w:rsidTr="00C8132D">
        <w:tc>
          <w:tcPr>
            <w:tcW w:w="4788" w:type="dxa"/>
          </w:tcPr>
          <w:p w:rsidR="00C8132D" w:rsidRDefault="00C8132D" w:rsidP="006216AE">
            <w:pPr>
              <w:spacing w:line="480" w:lineRule="auto"/>
              <w:rPr>
                <w:rFonts w:ascii="Times New Roman" w:hAnsi="Times New Roman" w:cs="Times New Roman"/>
                <w:sz w:val="24"/>
                <w:szCs w:val="24"/>
              </w:rPr>
            </w:pPr>
            <w:r>
              <w:rPr>
                <w:rFonts w:ascii="Times New Roman" w:hAnsi="Times New Roman" w:cs="Times New Roman"/>
                <w:sz w:val="24"/>
                <w:szCs w:val="24"/>
              </w:rPr>
              <w:t>Ailment acted on by Oregano</w:t>
            </w:r>
          </w:p>
        </w:tc>
        <w:tc>
          <w:tcPr>
            <w:tcW w:w="4788" w:type="dxa"/>
          </w:tcPr>
          <w:p w:rsidR="00C8132D" w:rsidRDefault="00C8132D" w:rsidP="006216AE">
            <w:pPr>
              <w:spacing w:line="480" w:lineRule="auto"/>
              <w:rPr>
                <w:rFonts w:ascii="Times New Roman" w:hAnsi="Times New Roman" w:cs="Times New Roman"/>
                <w:sz w:val="24"/>
                <w:szCs w:val="24"/>
              </w:rPr>
            </w:pPr>
            <w:r>
              <w:rPr>
                <w:rFonts w:ascii="Times New Roman" w:hAnsi="Times New Roman" w:cs="Times New Roman"/>
                <w:sz w:val="24"/>
                <w:szCs w:val="24"/>
              </w:rPr>
              <w:t>Confidence rating on the effect</w:t>
            </w:r>
          </w:p>
        </w:tc>
      </w:tr>
      <w:tr w:rsidR="00C8132D" w:rsidTr="00C8132D">
        <w:tc>
          <w:tcPr>
            <w:tcW w:w="4788" w:type="dxa"/>
          </w:tcPr>
          <w:p w:rsidR="00D174B4" w:rsidRDefault="00D174B4" w:rsidP="006216AE">
            <w:pPr>
              <w:spacing w:line="480" w:lineRule="auto"/>
              <w:rPr>
                <w:rFonts w:ascii="Times New Roman" w:hAnsi="Times New Roman" w:cs="Times New Roman"/>
                <w:sz w:val="24"/>
                <w:szCs w:val="24"/>
              </w:rPr>
            </w:pPr>
            <w:r>
              <w:rPr>
                <w:rFonts w:ascii="Times New Roman" w:hAnsi="Times New Roman" w:cs="Times New Roman"/>
                <w:sz w:val="24"/>
                <w:szCs w:val="24"/>
              </w:rPr>
              <w:t>Cuts &amp; wounds</w:t>
            </w:r>
          </w:p>
        </w:tc>
        <w:tc>
          <w:tcPr>
            <w:tcW w:w="4788" w:type="dxa"/>
          </w:tcPr>
          <w:p w:rsidR="00C8132D" w:rsidRDefault="005C77D7" w:rsidP="006216AE">
            <w:pPr>
              <w:spacing w:line="480" w:lineRule="auto"/>
              <w:rPr>
                <w:rFonts w:ascii="Times New Roman" w:hAnsi="Times New Roman" w:cs="Times New Roman"/>
                <w:sz w:val="24"/>
                <w:szCs w:val="24"/>
              </w:rPr>
            </w:pPr>
            <w:r>
              <w:rPr>
                <w:rFonts w:ascii="Times New Roman" w:hAnsi="Times New Roman" w:cs="Times New Roman"/>
                <w:sz w:val="24"/>
                <w:szCs w:val="24"/>
              </w:rPr>
              <w:t>9</w:t>
            </w:r>
          </w:p>
        </w:tc>
      </w:tr>
      <w:tr w:rsidR="00C8132D" w:rsidTr="00C8132D">
        <w:tc>
          <w:tcPr>
            <w:tcW w:w="4788" w:type="dxa"/>
          </w:tcPr>
          <w:p w:rsidR="00C8132D" w:rsidRDefault="00D174B4" w:rsidP="006216AE">
            <w:pPr>
              <w:spacing w:line="480" w:lineRule="auto"/>
              <w:rPr>
                <w:rFonts w:ascii="Times New Roman" w:hAnsi="Times New Roman" w:cs="Times New Roman"/>
                <w:sz w:val="24"/>
                <w:szCs w:val="24"/>
              </w:rPr>
            </w:pPr>
            <w:r>
              <w:rPr>
                <w:rFonts w:ascii="Times New Roman" w:hAnsi="Times New Roman" w:cs="Times New Roman"/>
                <w:sz w:val="24"/>
                <w:szCs w:val="24"/>
              </w:rPr>
              <w:t>Diabetes</w:t>
            </w:r>
          </w:p>
        </w:tc>
        <w:tc>
          <w:tcPr>
            <w:tcW w:w="4788" w:type="dxa"/>
          </w:tcPr>
          <w:p w:rsidR="00C8132D" w:rsidRDefault="005C77D7" w:rsidP="006216AE">
            <w:pPr>
              <w:spacing w:line="480" w:lineRule="auto"/>
              <w:rPr>
                <w:rFonts w:ascii="Times New Roman" w:hAnsi="Times New Roman" w:cs="Times New Roman"/>
                <w:sz w:val="24"/>
                <w:szCs w:val="24"/>
              </w:rPr>
            </w:pPr>
            <w:r>
              <w:rPr>
                <w:rFonts w:ascii="Times New Roman" w:hAnsi="Times New Roman" w:cs="Times New Roman"/>
                <w:sz w:val="24"/>
                <w:szCs w:val="24"/>
              </w:rPr>
              <w:t>3</w:t>
            </w:r>
          </w:p>
        </w:tc>
      </w:tr>
      <w:tr w:rsidR="00C8132D" w:rsidTr="00C8132D">
        <w:tc>
          <w:tcPr>
            <w:tcW w:w="4788" w:type="dxa"/>
          </w:tcPr>
          <w:p w:rsidR="00C8132D" w:rsidRDefault="00D174B4" w:rsidP="006216AE">
            <w:pPr>
              <w:spacing w:line="480" w:lineRule="auto"/>
              <w:rPr>
                <w:rFonts w:ascii="Times New Roman" w:hAnsi="Times New Roman" w:cs="Times New Roman"/>
                <w:sz w:val="24"/>
                <w:szCs w:val="24"/>
              </w:rPr>
            </w:pPr>
            <w:r>
              <w:rPr>
                <w:rFonts w:ascii="Times New Roman" w:hAnsi="Times New Roman" w:cs="Times New Roman"/>
                <w:sz w:val="24"/>
                <w:szCs w:val="24"/>
              </w:rPr>
              <w:t>Facial care</w:t>
            </w:r>
          </w:p>
        </w:tc>
        <w:tc>
          <w:tcPr>
            <w:tcW w:w="4788" w:type="dxa"/>
          </w:tcPr>
          <w:p w:rsidR="00C8132D" w:rsidRDefault="005C77D7" w:rsidP="006216AE">
            <w:pPr>
              <w:spacing w:line="480" w:lineRule="auto"/>
              <w:rPr>
                <w:rFonts w:ascii="Times New Roman" w:hAnsi="Times New Roman" w:cs="Times New Roman"/>
                <w:sz w:val="24"/>
                <w:szCs w:val="24"/>
              </w:rPr>
            </w:pPr>
            <w:r>
              <w:rPr>
                <w:rFonts w:ascii="Times New Roman" w:hAnsi="Times New Roman" w:cs="Times New Roman"/>
                <w:sz w:val="24"/>
                <w:szCs w:val="24"/>
              </w:rPr>
              <w:t>8</w:t>
            </w:r>
          </w:p>
        </w:tc>
      </w:tr>
      <w:tr w:rsidR="00C8132D" w:rsidTr="00C8132D">
        <w:tc>
          <w:tcPr>
            <w:tcW w:w="4788" w:type="dxa"/>
          </w:tcPr>
          <w:p w:rsidR="00C8132D" w:rsidRDefault="00D174B4" w:rsidP="006216AE">
            <w:pPr>
              <w:spacing w:line="480" w:lineRule="auto"/>
              <w:rPr>
                <w:rFonts w:ascii="Times New Roman" w:hAnsi="Times New Roman" w:cs="Times New Roman"/>
                <w:sz w:val="24"/>
                <w:szCs w:val="24"/>
              </w:rPr>
            </w:pPr>
            <w:r>
              <w:rPr>
                <w:rFonts w:ascii="Times New Roman" w:hAnsi="Times New Roman" w:cs="Times New Roman"/>
                <w:sz w:val="24"/>
                <w:szCs w:val="24"/>
              </w:rPr>
              <w:t>Migraine &amp; headache</w:t>
            </w:r>
          </w:p>
        </w:tc>
        <w:tc>
          <w:tcPr>
            <w:tcW w:w="4788" w:type="dxa"/>
          </w:tcPr>
          <w:p w:rsidR="00C8132D" w:rsidRDefault="005C77D7" w:rsidP="006216AE">
            <w:pPr>
              <w:spacing w:line="480" w:lineRule="auto"/>
              <w:rPr>
                <w:rFonts w:ascii="Times New Roman" w:hAnsi="Times New Roman" w:cs="Times New Roman"/>
                <w:sz w:val="24"/>
                <w:szCs w:val="24"/>
              </w:rPr>
            </w:pPr>
            <w:r>
              <w:rPr>
                <w:rFonts w:ascii="Times New Roman" w:hAnsi="Times New Roman" w:cs="Times New Roman"/>
                <w:sz w:val="24"/>
                <w:szCs w:val="24"/>
              </w:rPr>
              <w:t>1</w:t>
            </w:r>
          </w:p>
        </w:tc>
      </w:tr>
      <w:tr w:rsidR="00C8132D" w:rsidTr="00C8132D">
        <w:tc>
          <w:tcPr>
            <w:tcW w:w="4788" w:type="dxa"/>
          </w:tcPr>
          <w:p w:rsidR="00C8132D" w:rsidRDefault="00D174B4" w:rsidP="006216AE">
            <w:pPr>
              <w:spacing w:line="480" w:lineRule="auto"/>
              <w:rPr>
                <w:rFonts w:ascii="Times New Roman" w:hAnsi="Times New Roman" w:cs="Times New Roman"/>
                <w:sz w:val="24"/>
                <w:szCs w:val="24"/>
              </w:rPr>
            </w:pPr>
            <w:r>
              <w:rPr>
                <w:rFonts w:ascii="Times New Roman" w:hAnsi="Times New Roman" w:cs="Times New Roman"/>
                <w:sz w:val="24"/>
                <w:szCs w:val="24"/>
              </w:rPr>
              <w:t>Antioxidation</w:t>
            </w:r>
          </w:p>
        </w:tc>
        <w:tc>
          <w:tcPr>
            <w:tcW w:w="4788" w:type="dxa"/>
          </w:tcPr>
          <w:p w:rsidR="00C8132D" w:rsidRDefault="005C77D7" w:rsidP="006216AE">
            <w:pPr>
              <w:spacing w:line="480" w:lineRule="auto"/>
              <w:rPr>
                <w:rFonts w:ascii="Times New Roman" w:hAnsi="Times New Roman" w:cs="Times New Roman"/>
                <w:sz w:val="24"/>
                <w:szCs w:val="24"/>
              </w:rPr>
            </w:pPr>
            <w:r>
              <w:rPr>
                <w:rFonts w:ascii="Times New Roman" w:hAnsi="Times New Roman" w:cs="Times New Roman"/>
                <w:sz w:val="24"/>
                <w:szCs w:val="24"/>
              </w:rPr>
              <w:t>7</w:t>
            </w:r>
          </w:p>
        </w:tc>
      </w:tr>
      <w:tr w:rsidR="00C8132D" w:rsidTr="00C8132D">
        <w:tc>
          <w:tcPr>
            <w:tcW w:w="4788" w:type="dxa"/>
          </w:tcPr>
          <w:p w:rsidR="00C8132D" w:rsidRDefault="00D174B4" w:rsidP="006216AE">
            <w:pPr>
              <w:spacing w:line="480" w:lineRule="auto"/>
              <w:rPr>
                <w:rFonts w:ascii="Times New Roman" w:hAnsi="Times New Roman" w:cs="Times New Roman"/>
                <w:sz w:val="24"/>
                <w:szCs w:val="24"/>
              </w:rPr>
            </w:pPr>
            <w:r>
              <w:rPr>
                <w:rFonts w:ascii="Times New Roman" w:hAnsi="Times New Roman" w:cs="Times New Roman"/>
                <w:sz w:val="24"/>
                <w:szCs w:val="24"/>
              </w:rPr>
              <w:t>Antibacterial activity</w:t>
            </w:r>
          </w:p>
        </w:tc>
        <w:tc>
          <w:tcPr>
            <w:tcW w:w="4788" w:type="dxa"/>
          </w:tcPr>
          <w:p w:rsidR="00C8132D" w:rsidRDefault="005C77D7" w:rsidP="006216AE">
            <w:pPr>
              <w:spacing w:line="480" w:lineRule="auto"/>
              <w:rPr>
                <w:rFonts w:ascii="Times New Roman" w:hAnsi="Times New Roman" w:cs="Times New Roman"/>
                <w:sz w:val="24"/>
                <w:szCs w:val="24"/>
              </w:rPr>
            </w:pPr>
            <w:r>
              <w:rPr>
                <w:rFonts w:ascii="Times New Roman" w:hAnsi="Times New Roman" w:cs="Times New Roman"/>
                <w:sz w:val="24"/>
                <w:szCs w:val="24"/>
              </w:rPr>
              <w:t>5</w:t>
            </w:r>
          </w:p>
        </w:tc>
      </w:tr>
      <w:tr w:rsidR="00D174B4" w:rsidTr="00C8132D">
        <w:tc>
          <w:tcPr>
            <w:tcW w:w="4788" w:type="dxa"/>
          </w:tcPr>
          <w:p w:rsidR="00D174B4" w:rsidRDefault="00D174B4" w:rsidP="006216AE">
            <w:pPr>
              <w:spacing w:line="480" w:lineRule="auto"/>
              <w:rPr>
                <w:rFonts w:ascii="Times New Roman" w:hAnsi="Times New Roman" w:cs="Times New Roman"/>
                <w:sz w:val="24"/>
                <w:szCs w:val="24"/>
              </w:rPr>
            </w:pPr>
            <w:r>
              <w:rPr>
                <w:rFonts w:ascii="Times New Roman" w:hAnsi="Times New Roman" w:cs="Times New Roman"/>
                <w:sz w:val="24"/>
                <w:szCs w:val="24"/>
              </w:rPr>
              <w:t>Heart health</w:t>
            </w:r>
          </w:p>
        </w:tc>
        <w:tc>
          <w:tcPr>
            <w:tcW w:w="4788" w:type="dxa"/>
          </w:tcPr>
          <w:p w:rsidR="00D174B4" w:rsidRDefault="005C77D7" w:rsidP="006216AE">
            <w:pPr>
              <w:spacing w:line="480" w:lineRule="auto"/>
              <w:rPr>
                <w:rFonts w:ascii="Times New Roman" w:hAnsi="Times New Roman" w:cs="Times New Roman"/>
                <w:sz w:val="24"/>
                <w:szCs w:val="24"/>
              </w:rPr>
            </w:pPr>
            <w:r>
              <w:rPr>
                <w:rFonts w:ascii="Times New Roman" w:hAnsi="Times New Roman" w:cs="Times New Roman"/>
                <w:sz w:val="24"/>
                <w:szCs w:val="24"/>
              </w:rPr>
              <w:t>0</w:t>
            </w:r>
          </w:p>
        </w:tc>
      </w:tr>
      <w:tr w:rsidR="00C8132D" w:rsidTr="00C8132D">
        <w:tc>
          <w:tcPr>
            <w:tcW w:w="4788" w:type="dxa"/>
          </w:tcPr>
          <w:p w:rsidR="00C8132D" w:rsidRDefault="00D174B4" w:rsidP="006216AE">
            <w:pPr>
              <w:spacing w:line="480" w:lineRule="auto"/>
              <w:rPr>
                <w:rFonts w:ascii="Times New Roman" w:hAnsi="Times New Roman" w:cs="Times New Roman"/>
                <w:sz w:val="24"/>
                <w:szCs w:val="24"/>
              </w:rPr>
            </w:pPr>
            <w:r>
              <w:rPr>
                <w:rFonts w:ascii="Times New Roman" w:hAnsi="Times New Roman" w:cs="Times New Roman"/>
                <w:sz w:val="24"/>
                <w:szCs w:val="24"/>
              </w:rPr>
              <w:t>Antiviral activity</w:t>
            </w:r>
          </w:p>
        </w:tc>
        <w:tc>
          <w:tcPr>
            <w:tcW w:w="4788" w:type="dxa"/>
          </w:tcPr>
          <w:p w:rsidR="00C8132D" w:rsidRDefault="005C77D7" w:rsidP="006216AE">
            <w:pPr>
              <w:spacing w:line="480" w:lineRule="auto"/>
              <w:rPr>
                <w:rFonts w:ascii="Times New Roman" w:hAnsi="Times New Roman" w:cs="Times New Roman"/>
                <w:sz w:val="24"/>
                <w:szCs w:val="24"/>
              </w:rPr>
            </w:pPr>
            <w:r>
              <w:rPr>
                <w:rFonts w:ascii="Times New Roman" w:hAnsi="Times New Roman" w:cs="Times New Roman"/>
                <w:sz w:val="24"/>
                <w:szCs w:val="24"/>
              </w:rPr>
              <w:t>5</w:t>
            </w:r>
          </w:p>
        </w:tc>
      </w:tr>
      <w:tr w:rsidR="00D174B4" w:rsidTr="00C8132D">
        <w:tc>
          <w:tcPr>
            <w:tcW w:w="4788" w:type="dxa"/>
          </w:tcPr>
          <w:p w:rsidR="00D174B4" w:rsidRDefault="00D174B4" w:rsidP="006216AE">
            <w:pPr>
              <w:spacing w:line="480" w:lineRule="auto"/>
              <w:rPr>
                <w:rFonts w:ascii="Times New Roman" w:hAnsi="Times New Roman" w:cs="Times New Roman"/>
                <w:sz w:val="24"/>
                <w:szCs w:val="24"/>
              </w:rPr>
            </w:pPr>
            <w:r>
              <w:rPr>
                <w:rFonts w:ascii="Times New Roman" w:hAnsi="Times New Roman" w:cs="Times New Roman"/>
                <w:sz w:val="24"/>
                <w:szCs w:val="24"/>
              </w:rPr>
              <w:t>Gastrointestinal tract ailments</w:t>
            </w:r>
          </w:p>
        </w:tc>
        <w:tc>
          <w:tcPr>
            <w:tcW w:w="4788" w:type="dxa"/>
          </w:tcPr>
          <w:p w:rsidR="00D174B4" w:rsidRDefault="005C77D7" w:rsidP="006216AE">
            <w:pPr>
              <w:spacing w:line="480" w:lineRule="auto"/>
              <w:rPr>
                <w:rFonts w:ascii="Times New Roman" w:hAnsi="Times New Roman" w:cs="Times New Roman"/>
                <w:sz w:val="24"/>
                <w:szCs w:val="24"/>
              </w:rPr>
            </w:pPr>
            <w:r>
              <w:rPr>
                <w:rFonts w:ascii="Times New Roman" w:hAnsi="Times New Roman" w:cs="Times New Roman"/>
                <w:sz w:val="24"/>
                <w:szCs w:val="24"/>
              </w:rPr>
              <w:t>6</w:t>
            </w:r>
          </w:p>
        </w:tc>
      </w:tr>
      <w:tr w:rsidR="00D174B4" w:rsidTr="00C8132D">
        <w:tc>
          <w:tcPr>
            <w:tcW w:w="4788" w:type="dxa"/>
          </w:tcPr>
          <w:p w:rsidR="00D174B4" w:rsidRDefault="00D174B4" w:rsidP="006216AE">
            <w:pPr>
              <w:spacing w:line="480" w:lineRule="auto"/>
              <w:rPr>
                <w:rFonts w:ascii="Times New Roman" w:hAnsi="Times New Roman" w:cs="Times New Roman"/>
                <w:sz w:val="24"/>
                <w:szCs w:val="24"/>
              </w:rPr>
            </w:pPr>
            <w:r>
              <w:rPr>
                <w:rFonts w:ascii="Times New Roman" w:hAnsi="Times New Roman" w:cs="Times New Roman"/>
                <w:sz w:val="24"/>
                <w:szCs w:val="24"/>
              </w:rPr>
              <w:t>Respiratory tract ailments</w:t>
            </w:r>
          </w:p>
        </w:tc>
        <w:tc>
          <w:tcPr>
            <w:tcW w:w="4788" w:type="dxa"/>
          </w:tcPr>
          <w:p w:rsidR="00D174B4" w:rsidRDefault="005C77D7" w:rsidP="006216AE">
            <w:pPr>
              <w:spacing w:line="480" w:lineRule="auto"/>
              <w:rPr>
                <w:rFonts w:ascii="Times New Roman" w:hAnsi="Times New Roman" w:cs="Times New Roman"/>
                <w:sz w:val="24"/>
                <w:szCs w:val="24"/>
              </w:rPr>
            </w:pPr>
            <w:r>
              <w:rPr>
                <w:rFonts w:ascii="Times New Roman" w:hAnsi="Times New Roman" w:cs="Times New Roman"/>
                <w:sz w:val="24"/>
                <w:szCs w:val="24"/>
              </w:rPr>
              <w:t>6</w:t>
            </w:r>
          </w:p>
        </w:tc>
      </w:tr>
      <w:tr w:rsidR="00D174B4" w:rsidTr="00C8132D">
        <w:tc>
          <w:tcPr>
            <w:tcW w:w="4788" w:type="dxa"/>
          </w:tcPr>
          <w:p w:rsidR="00D174B4" w:rsidRDefault="00D174B4" w:rsidP="006216AE">
            <w:pPr>
              <w:spacing w:line="480" w:lineRule="auto"/>
              <w:rPr>
                <w:rFonts w:ascii="Times New Roman" w:hAnsi="Times New Roman" w:cs="Times New Roman"/>
                <w:sz w:val="24"/>
                <w:szCs w:val="24"/>
              </w:rPr>
            </w:pPr>
            <w:r>
              <w:rPr>
                <w:rFonts w:ascii="Times New Roman" w:hAnsi="Times New Roman" w:cs="Times New Roman"/>
                <w:sz w:val="24"/>
                <w:szCs w:val="24"/>
              </w:rPr>
              <w:t>Hemophilia</w:t>
            </w:r>
          </w:p>
        </w:tc>
        <w:tc>
          <w:tcPr>
            <w:tcW w:w="4788" w:type="dxa"/>
          </w:tcPr>
          <w:p w:rsidR="00D174B4" w:rsidRDefault="005C77D7" w:rsidP="006216AE">
            <w:pPr>
              <w:spacing w:line="480" w:lineRule="auto"/>
              <w:rPr>
                <w:rFonts w:ascii="Times New Roman" w:hAnsi="Times New Roman" w:cs="Times New Roman"/>
                <w:sz w:val="24"/>
                <w:szCs w:val="24"/>
              </w:rPr>
            </w:pPr>
            <w:r>
              <w:rPr>
                <w:rFonts w:ascii="Times New Roman" w:hAnsi="Times New Roman" w:cs="Times New Roman"/>
                <w:sz w:val="24"/>
                <w:szCs w:val="24"/>
              </w:rPr>
              <w:t>0</w:t>
            </w:r>
          </w:p>
        </w:tc>
      </w:tr>
      <w:tr w:rsidR="00D174B4" w:rsidTr="00C8132D">
        <w:tc>
          <w:tcPr>
            <w:tcW w:w="4788" w:type="dxa"/>
          </w:tcPr>
          <w:p w:rsidR="00D174B4" w:rsidRDefault="00D174B4" w:rsidP="006216AE">
            <w:pPr>
              <w:spacing w:line="480" w:lineRule="auto"/>
              <w:rPr>
                <w:rFonts w:ascii="Times New Roman" w:hAnsi="Times New Roman" w:cs="Times New Roman"/>
                <w:sz w:val="24"/>
                <w:szCs w:val="24"/>
              </w:rPr>
            </w:pPr>
            <w:r>
              <w:rPr>
                <w:rFonts w:ascii="Times New Roman" w:hAnsi="Times New Roman" w:cs="Times New Roman"/>
                <w:sz w:val="24"/>
                <w:szCs w:val="24"/>
              </w:rPr>
              <w:t>Anticancer activity</w:t>
            </w:r>
          </w:p>
        </w:tc>
        <w:tc>
          <w:tcPr>
            <w:tcW w:w="4788" w:type="dxa"/>
          </w:tcPr>
          <w:p w:rsidR="00D174B4" w:rsidRDefault="005C77D7" w:rsidP="006216AE">
            <w:pPr>
              <w:spacing w:line="480" w:lineRule="auto"/>
              <w:rPr>
                <w:rFonts w:ascii="Times New Roman" w:hAnsi="Times New Roman" w:cs="Times New Roman"/>
                <w:sz w:val="24"/>
                <w:szCs w:val="24"/>
              </w:rPr>
            </w:pPr>
            <w:r>
              <w:rPr>
                <w:rFonts w:ascii="Times New Roman" w:hAnsi="Times New Roman" w:cs="Times New Roman"/>
                <w:sz w:val="24"/>
                <w:szCs w:val="24"/>
              </w:rPr>
              <w:t>2</w:t>
            </w:r>
          </w:p>
        </w:tc>
      </w:tr>
    </w:tbl>
    <w:p w:rsidR="00C8132D" w:rsidRDefault="00C8132D" w:rsidP="006216AE">
      <w:pPr>
        <w:spacing w:line="480" w:lineRule="auto"/>
        <w:rPr>
          <w:rFonts w:ascii="Times New Roman" w:hAnsi="Times New Roman" w:cs="Times New Roman"/>
          <w:sz w:val="24"/>
          <w:szCs w:val="24"/>
        </w:rPr>
      </w:pPr>
    </w:p>
    <w:p w:rsidR="00A6342E" w:rsidRDefault="00A6342E" w:rsidP="006216AE">
      <w:pPr>
        <w:spacing w:line="480" w:lineRule="auto"/>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extent cx="5486400" cy="3200400"/>
            <wp:effectExtent l="19050" t="0" r="19050" b="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681E54" w:rsidRDefault="00681E54" w:rsidP="006216AE">
      <w:pPr>
        <w:spacing w:line="480" w:lineRule="auto"/>
        <w:rPr>
          <w:rFonts w:ascii="Times New Roman" w:hAnsi="Times New Roman" w:cs="Times New Roman"/>
          <w:sz w:val="24"/>
          <w:szCs w:val="24"/>
        </w:rPr>
      </w:pPr>
    </w:p>
    <w:p w:rsidR="002D4431" w:rsidRPr="009D5CB2" w:rsidRDefault="002D4431" w:rsidP="009D5CB2">
      <w:pPr>
        <w:jc w:val="center"/>
        <w:rPr>
          <w:rFonts w:ascii="Times New Roman" w:hAnsi="Times New Roman" w:cs="Times New Roman"/>
          <w:b/>
          <w:sz w:val="24"/>
          <w:szCs w:val="24"/>
        </w:rPr>
      </w:pPr>
      <w:r w:rsidRPr="009D5CB2">
        <w:rPr>
          <w:rFonts w:ascii="Times New Roman" w:hAnsi="Times New Roman" w:cs="Times New Roman"/>
          <w:b/>
          <w:sz w:val="24"/>
          <w:szCs w:val="24"/>
        </w:rPr>
        <w:t>Conclusion</w:t>
      </w:r>
    </w:p>
    <w:p w:rsidR="0091736F" w:rsidRDefault="002D4431">
      <w:pPr>
        <w:rPr>
          <w:rFonts w:ascii="Times New Roman" w:hAnsi="Times New Roman" w:cs="Times New Roman"/>
          <w:sz w:val="24"/>
          <w:szCs w:val="24"/>
        </w:rPr>
      </w:pPr>
      <w:r>
        <w:rPr>
          <w:rFonts w:ascii="Times New Roman" w:hAnsi="Times New Roman" w:cs="Times New Roman"/>
          <w:sz w:val="24"/>
          <w:szCs w:val="24"/>
        </w:rPr>
        <w:t>The graph above gives a visual presentation of the confidence ratings of the control effects of Oregano. It is a good medication for wounds and cuts, while facial ailments such as acne, pimples, rashes</w:t>
      </w:r>
      <w:r w:rsidR="00076E2A">
        <w:rPr>
          <w:rFonts w:ascii="Times New Roman" w:hAnsi="Times New Roman" w:cs="Times New Roman"/>
          <w:sz w:val="24"/>
          <w:szCs w:val="24"/>
        </w:rPr>
        <w:t xml:space="preserve"> and sunburns are well taken of by the plant extracts. In spite of claims that Oregano acts on heart problems and hemophilia (bleeding disorder), there is no documented evidence for the same.</w:t>
      </w:r>
      <w:r w:rsidR="0091736F">
        <w:rPr>
          <w:rFonts w:ascii="Times New Roman" w:hAnsi="Times New Roman" w:cs="Times New Roman"/>
          <w:sz w:val="24"/>
          <w:szCs w:val="24"/>
        </w:rPr>
        <w:br w:type="page"/>
      </w:r>
    </w:p>
    <w:p w:rsidR="006E0B93" w:rsidRDefault="0091736F" w:rsidP="0091736F">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D82F71" w:rsidRDefault="0091736F" w:rsidP="00D82F71">
      <w:pPr>
        <w:pStyle w:val="Bibliography"/>
        <w:rPr>
          <w:noProof/>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BIBLIOGRAPHY  \l 1033 </w:instrText>
      </w:r>
      <w:r>
        <w:rPr>
          <w:rFonts w:ascii="Times New Roman" w:hAnsi="Times New Roman" w:cs="Times New Roman"/>
          <w:sz w:val="24"/>
          <w:szCs w:val="24"/>
        </w:rPr>
        <w:fldChar w:fldCharType="separate"/>
      </w:r>
      <w:r w:rsidR="00D82F71">
        <w:rPr>
          <w:noProof/>
        </w:rPr>
        <w:t xml:space="preserve">Ameh, S. I. N. a. E. B., 2015. Essential Oils in Ginger, Hops, Cloves, and Pepper Flavored Beverages–A Review. </w:t>
      </w:r>
      <w:r w:rsidR="00D82F71">
        <w:rPr>
          <w:i/>
          <w:iCs/>
          <w:noProof/>
        </w:rPr>
        <w:t xml:space="preserve">Journal of dietary supplements, </w:t>
      </w:r>
      <w:r w:rsidR="00D82F71">
        <w:rPr>
          <w:noProof/>
        </w:rPr>
        <w:t>12(3), pp. pp. 241-260.</w:t>
      </w:r>
    </w:p>
    <w:p w:rsidR="00D82F71" w:rsidRDefault="00D82F71" w:rsidP="00D82F71">
      <w:pPr>
        <w:pStyle w:val="Bibliography"/>
        <w:rPr>
          <w:noProof/>
        </w:rPr>
      </w:pPr>
      <w:r>
        <w:rPr>
          <w:noProof/>
        </w:rPr>
        <w:t xml:space="preserve">Amit Baran, S., 2016. Medicinal Plants: The Magic of Wound Healing Activity. </w:t>
      </w:r>
      <w:r>
        <w:rPr>
          <w:i/>
          <w:iCs/>
          <w:noProof/>
        </w:rPr>
        <w:t xml:space="preserve">Current Traditional Medicine, </w:t>
      </w:r>
      <w:r>
        <w:rPr>
          <w:noProof/>
        </w:rPr>
        <w:t>2(3), pp. pp.186-206.</w:t>
      </w:r>
    </w:p>
    <w:p w:rsidR="00D82F71" w:rsidRDefault="00D82F71" w:rsidP="00D82F71">
      <w:pPr>
        <w:pStyle w:val="Bibliography"/>
        <w:rPr>
          <w:noProof/>
        </w:rPr>
      </w:pPr>
      <w:r>
        <w:rPr>
          <w:noProof/>
        </w:rPr>
        <w:t xml:space="preserve">Bona, E. C. S. P. M. N. G. M. N. R. A. B. G. a. G. E., 2016. Sensitivity of Candida albicans to essential oils: are they an alternative to antifungal agents?. </w:t>
      </w:r>
      <w:r>
        <w:rPr>
          <w:i/>
          <w:iCs/>
          <w:noProof/>
        </w:rPr>
        <w:t xml:space="preserve">Journal of applied microbiology, </w:t>
      </w:r>
      <w:r>
        <w:rPr>
          <w:noProof/>
        </w:rPr>
        <w:t>121(6), pp. pp.1530-1545.</w:t>
      </w:r>
    </w:p>
    <w:p w:rsidR="00D82F71" w:rsidRDefault="00D82F71" w:rsidP="00D82F71">
      <w:pPr>
        <w:pStyle w:val="Bibliography"/>
        <w:rPr>
          <w:noProof/>
        </w:rPr>
      </w:pPr>
      <w:r>
        <w:rPr>
          <w:noProof/>
        </w:rPr>
        <w:t xml:space="preserve">Jennifer Ragi, M. A. P. M. a. B. R. M., 2011. Oregano extract ointment for wound healing: a randomized, double-blind, petrolatum-controlled study evaluating efficacy. </w:t>
      </w:r>
      <w:r>
        <w:rPr>
          <w:i/>
          <w:iCs/>
          <w:noProof/>
        </w:rPr>
        <w:t xml:space="preserve">Journal of Drugs in Dermatology, </w:t>
      </w:r>
      <w:r>
        <w:rPr>
          <w:noProof/>
        </w:rPr>
        <w:t>10(10), pp. pp.1168-1172.</w:t>
      </w:r>
    </w:p>
    <w:p w:rsidR="00D82F71" w:rsidRDefault="00D82F71" w:rsidP="00D82F71">
      <w:pPr>
        <w:pStyle w:val="Bibliography"/>
        <w:rPr>
          <w:noProof/>
        </w:rPr>
      </w:pPr>
      <w:r>
        <w:rPr>
          <w:noProof/>
        </w:rPr>
        <w:t xml:space="preserve">Katsoulos, P. K. M. D. C. F. G. P. E. K. E. A. K. P. T. B. C. a. K. H., 2017. Evaluation of the in-field efficacy of oregano essential oil administration on the control of neonatal diarrhea syndrome in calves. </w:t>
      </w:r>
      <w:r>
        <w:rPr>
          <w:i/>
          <w:iCs/>
          <w:noProof/>
        </w:rPr>
        <w:t xml:space="preserve">Research in veterinary science, </w:t>
      </w:r>
      <w:r>
        <w:rPr>
          <w:noProof/>
        </w:rPr>
        <w:t>Volume 115, pp. pp.478-483.</w:t>
      </w:r>
    </w:p>
    <w:p w:rsidR="00D82F71" w:rsidRDefault="00D82F71" w:rsidP="00D82F71">
      <w:pPr>
        <w:pStyle w:val="Bibliography"/>
        <w:rPr>
          <w:noProof/>
        </w:rPr>
      </w:pPr>
      <w:r>
        <w:rPr>
          <w:noProof/>
        </w:rPr>
        <w:t xml:space="preserve">Kissels, W. W. X. a. S. R., 2017. Interaction of the isomers carvacrol and thymol with the antibiotics doxycycline and tilmicosin: In vitro effects against pathogenic bacteria commonly found in the respiratory tract of calves. </w:t>
      </w:r>
      <w:r>
        <w:rPr>
          <w:i/>
          <w:iCs/>
          <w:noProof/>
        </w:rPr>
        <w:t xml:space="preserve">Journal of dairy science, </w:t>
      </w:r>
      <w:r>
        <w:rPr>
          <w:noProof/>
        </w:rPr>
        <w:t>100(2), pp. pp.970-974.</w:t>
      </w:r>
    </w:p>
    <w:p w:rsidR="00D82F71" w:rsidRDefault="00D82F71" w:rsidP="00D82F71">
      <w:pPr>
        <w:pStyle w:val="Bibliography"/>
        <w:rPr>
          <w:noProof/>
        </w:rPr>
      </w:pPr>
      <w:r>
        <w:rPr>
          <w:noProof/>
        </w:rPr>
        <w:t xml:space="preserve">Kubatka, P. K. M. K. K. K. P. V. D. M. J. A. M. F. S. V. L. Z. A. a. P. M., 2017. Oregano demonstrates distinct tumour-suppressive effects in the breast carcinoma model. </w:t>
      </w:r>
      <w:r>
        <w:rPr>
          <w:i/>
          <w:iCs/>
          <w:noProof/>
        </w:rPr>
        <w:t xml:space="preserve">European journal of nutrition, </w:t>
      </w:r>
      <w:r>
        <w:rPr>
          <w:noProof/>
        </w:rPr>
        <w:t>56(3), pp. pp. 1303-1316.</w:t>
      </w:r>
    </w:p>
    <w:p w:rsidR="00D82F71" w:rsidRDefault="00D82F71" w:rsidP="00D82F71">
      <w:pPr>
        <w:pStyle w:val="Bibliography"/>
        <w:rPr>
          <w:noProof/>
        </w:rPr>
      </w:pPr>
      <w:r>
        <w:rPr>
          <w:noProof/>
        </w:rPr>
        <w:t xml:space="preserve">Moore, S. a. P. M. K. I. I., 2016. </w:t>
      </w:r>
      <w:r>
        <w:rPr>
          <w:i/>
          <w:iCs/>
          <w:noProof/>
        </w:rPr>
        <w:t xml:space="preserve">Antimicrobial Compositions Containing Carvacrol and Thymol. </w:t>
      </w:r>
      <w:r>
        <w:rPr>
          <w:noProof/>
        </w:rPr>
        <w:t>s.l.:U.S. Patent Application 14/962,203.</w:t>
      </w:r>
    </w:p>
    <w:p w:rsidR="00D82F71" w:rsidRDefault="00D82F71" w:rsidP="00D82F71">
      <w:pPr>
        <w:pStyle w:val="Bibliography"/>
        <w:rPr>
          <w:noProof/>
        </w:rPr>
      </w:pPr>
      <w:r>
        <w:rPr>
          <w:noProof/>
        </w:rPr>
        <w:t xml:space="preserve">Pesavento, G. C. C. B. A. B. M. C. F. A. R. M. L. C. L. D. M. M. a. N. A., 2015. Antibacterial activity of Oregano, Rosmarinus and Thymus essential oils against Staphylococcus aureus and Listeria monocytogenes in beef meatballs. </w:t>
      </w:r>
      <w:r>
        <w:rPr>
          <w:i/>
          <w:iCs/>
          <w:noProof/>
        </w:rPr>
        <w:t xml:space="preserve">Food Control, </w:t>
      </w:r>
      <w:r>
        <w:rPr>
          <w:noProof/>
        </w:rPr>
        <w:t>Volume 54, pp. pp.188-199.</w:t>
      </w:r>
    </w:p>
    <w:p w:rsidR="00D82F71" w:rsidRDefault="00D82F71" w:rsidP="00D82F71">
      <w:pPr>
        <w:pStyle w:val="Bibliography"/>
        <w:rPr>
          <w:noProof/>
        </w:rPr>
      </w:pPr>
      <w:r>
        <w:rPr>
          <w:noProof/>
        </w:rPr>
        <w:t xml:space="preserve">Rodriguez-Garcia, I. S.-E. B. O.-R. L. L. J. S. M. C.-V. M. G.-A. G. a. A.-Z. J., 2016. Oregano essential oil as an antimicrobial and antioxidant additive in food products. </w:t>
      </w:r>
      <w:r>
        <w:rPr>
          <w:i/>
          <w:iCs/>
          <w:noProof/>
        </w:rPr>
        <w:t xml:space="preserve">Critical reviews in food science and nutrition, </w:t>
      </w:r>
      <w:r>
        <w:rPr>
          <w:noProof/>
        </w:rPr>
        <w:t>56(10), pp. pp.1717-1727.</w:t>
      </w:r>
    </w:p>
    <w:p w:rsidR="00D82F71" w:rsidRDefault="00D82F71" w:rsidP="00D82F71">
      <w:pPr>
        <w:pStyle w:val="Bibliography"/>
        <w:rPr>
          <w:noProof/>
        </w:rPr>
      </w:pPr>
      <w:r>
        <w:rPr>
          <w:noProof/>
        </w:rPr>
        <w:t xml:space="preserve">Santoyo, S. J. L. G.-R. M. R.-R. A. a. R. G., 2014. Antiviral properties of supercritical CO2 extracts from oregano and sage. </w:t>
      </w:r>
      <w:r>
        <w:rPr>
          <w:i/>
          <w:iCs/>
          <w:noProof/>
        </w:rPr>
        <w:t xml:space="preserve">International journal of food properties, </w:t>
      </w:r>
      <w:r>
        <w:rPr>
          <w:noProof/>
        </w:rPr>
        <w:t>17(5), pp. pp.1150-1161.</w:t>
      </w:r>
    </w:p>
    <w:p w:rsidR="00D82F71" w:rsidRDefault="00D82F71" w:rsidP="00D82F71">
      <w:pPr>
        <w:pStyle w:val="Bibliography"/>
        <w:rPr>
          <w:noProof/>
        </w:rPr>
      </w:pPr>
      <w:r>
        <w:rPr>
          <w:noProof/>
        </w:rPr>
        <w:t xml:space="preserve">Schuetz, B., 2016. </w:t>
      </w:r>
      <w:r>
        <w:rPr>
          <w:i/>
          <w:iCs/>
          <w:noProof/>
        </w:rPr>
        <w:t xml:space="preserve">Oil of Oregano: Nature's Antiseptic and Antioxidant. </w:t>
      </w:r>
      <w:r>
        <w:rPr>
          <w:noProof/>
        </w:rPr>
        <w:t>s.l.:Healthy Living Publications.</w:t>
      </w:r>
    </w:p>
    <w:p w:rsidR="00D82F71" w:rsidRDefault="00D82F71" w:rsidP="00D82F71">
      <w:pPr>
        <w:pStyle w:val="Bibliography"/>
        <w:rPr>
          <w:noProof/>
        </w:rPr>
      </w:pPr>
      <w:r>
        <w:rPr>
          <w:noProof/>
        </w:rPr>
        <w:lastRenderedPageBreak/>
        <w:t xml:space="preserve">Silva, J. A. J. Q. J. G. R. S. S. S. M. O. M. S. B. M. A. C. F. a. M. I., 2016. Enhancement of orofacial antinociceptive effect of carvacrol, a monoterpene present in oregano and thyme oils, by β-cyclodextrin inclusion complex in mice. </w:t>
      </w:r>
      <w:r>
        <w:rPr>
          <w:i/>
          <w:iCs/>
          <w:noProof/>
        </w:rPr>
        <w:t xml:space="preserve">Biomedicine &amp; Pharmacotherapy, </w:t>
      </w:r>
      <w:r>
        <w:rPr>
          <w:noProof/>
        </w:rPr>
        <w:t>Volume 84, pp. pp.454-461.</w:t>
      </w:r>
    </w:p>
    <w:p w:rsidR="00D82F71" w:rsidRDefault="00D82F71" w:rsidP="00D82F71">
      <w:pPr>
        <w:pStyle w:val="Bibliography"/>
        <w:rPr>
          <w:noProof/>
        </w:rPr>
      </w:pPr>
      <w:r>
        <w:rPr>
          <w:noProof/>
        </w:rPr>
        <w:t xml:space="preserve">Vazhacharickal, P. M. J. a. V. N., 2016. A comparative study on traditional herbal medicines of Mannans (tribal group in Idukki, Kerala) for the treatment of diabetes. </w:t>
      </w:r>
    </w:p>
    <w:p w:rsidR="0091736F" w:rsidRPr="006216AE" w:rsidRDefault="0091736F" w:rsidP="00D82F71">
      <w:pPr>
        <w:spacing w:line="480" w:lineRule="auto"/>
        <w:rPr>
          <w:rFonts w:ascii="Times New Roman" w:hAnsi="Times New Roman" w:cs="Times New Roman"/>
          <w:sz w:val="24"/>
          <w:szCs w:val="24"/>
        </w:rPr>
      </w:pPr>
      <w:r>
        <w:rPr>
          <w:rFonts w:ascii="Times New Roman" w:hAnsi="Times New Roman" w:cs="Times New Roman"/>
          <w:sz w:val="24"/>
          <w:szCs w:val="24"/>
        </w:rPr>
        <w:fldChar w:fldCharType="end"/>
      </w:r>
    </w:p>
    <w:sectPr w:rsidR="0091736F" w:rsidRPr="006216AE" w:rsidSect="00BB0A4C">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678FC" w:rsidRDefault="000678FC" w:rsidP="00470512">
      <w:pPr>
        <w:spacing w:after="0" w:line="240" w:lineRule="auto"/>
      </w:pPr>
      <w:r>
        <w:separator/>
      </w:r>
    </w:p>
  </w:endnote>
  <w:endnote w:type="continuationSeparator" w:id="0">
    <w:p w:rsidR="000678FC" w:rsidRDefault="000678FC" w:rsidP="004705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678FC" w:rsidRDefault="000678FC" w:rsidP="00470512">
      <w:pPr>
        <w:spacing w:after="0" w:line="240" w:lineRule="auto"/>
      </w:pPr>
      <w:r>
        <w:separator/>
      </w:r>
    </w:p>
  </w:footnote>
  <w:footnote w:type="continuationSeparator" w:id="0">
    <w:p w:rsidR="000678FC" w:rsidRDefault="000678FC" w:rsidP="0047051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0512" w:rsidRDefault="00470512">
    <w:pPr>
      <w:pStyle w:val="Header"/>
      <w:jc w:val="right"/>
    </w:pPr>
    <w:r>
      <w:t xml:space="preserve">Oregano </w:t>
    </w:r>
    <w:sdt>
      <w:sdtPr>
        <w:id w:val="-188748284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D57447">
          <w:rPr>
            <w:noProof/>
          </w:rPr>
          <w:t>7</w:t>
        </w:r>
        <w:r>
          <w:rPr>
            <w:noProof/>
          </w:rPr>
          <w:fldChar w:fldCharType="end"/>
        </w:r>
      </w:sdtContent>
    </w:sdt>
  </w:p>
  <w:p w:rsidR="00470512" w:rsidRDefault="0047051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MDIxNzAyMjO2NDW3NDdX0lEKTi0uzszPAykwrAUAAK7CwCwAAAA="/>
  </w:docVars>
  <w:rsids>
    <w:rsidRoot w:val="006B5971"/>
    <w:rsid w:val="000126B0"/>
    <w:rsid w:val="000678FC"/>
    <w:rsid w:val="00076E2A"/>
    <w:rsid w:val="000F3ADD"/>
    <w:rsid w:val="001A34D1"/>
    <w:rsid w:val="002248DC"/>
    <w:rsid w:val="002259EB"/>
    <w:rsid w:val="00241A45"/>
    <w:rsid w:val="002500DB"/>
    <w:rsid w:val="0025583C"/>
    <w:rsid w:val="00270DDE"/>
    <w:rsid w:val="00292CDD"/>
    <w:rsid w:val="002D4431"/>
    <w:rsid w:val="002F2ACE"/>
    <w:rsid w:val="0034183A"/>
    <w:rsid w:val="00362FCC"/>
    <w:rsid w:val="003A2233"/>
    <w:rsid w:val="003C37D0"/>
    <w:rsid w:val="00407C61"/>
    <w:rsid w:val="00470512"/>
    <w:rsid w:val="004F0F93"/>
    <w:rsid w:val="005A4910"/>
    <w:rsid w:val="005C77D7"/>
    <w:rsid w:val="006216AE"/>
    <w:rsid w:val="006329B5"/>
    <w:rsid w:val="00681E54"/>
    <w:rsid w:val="006B5971"/>
    <w:rsid w:val="006E0B93"/>
    <w:rsid w:val="007D0AEB"/>
    <w:rsid w:val="007F6271"/>
    <w:rsid w:val="0088016C"/>
    <w:rsid w:val="008F05AA"/>
    <w:rsid w:val="0091736F"/>
    <w:rsid w:val="00917ED4"/>
    <w:rsid w:val="009D5CB2"/>
    <w:rsid w:val="00A6342E"/>
    <w:rsid w:val="00A87784"/>
    <w:rsid w:val="00AA440E"/>
    <w:rsid w:val="00AB5F0A"/>
    <w:rsid w:val="00AE75C2"/>
    <w:rsid w:val="00BB0A4C"/>
    <w:rsid w:val="00BC39C6"/>
    <w:rsid w:val="00C43A7A"/>
    <w:rsid w:val="00C8132D"/>
    <w:rsid w:val="00C942A8"/>
    <w:rsid w:val="00D174B4"/>
    <w:rsid w:val="00D40227"/>
    <w:rsid w:val="00D46683"/>
    <w:rsid w:val="00D57447"/>
    <w:rsid w:val="00D82F71"/>
    <w:rsid w:val="00D93519"/>
    <w:rsid w:val="00DC327B"/>
    <w:rsid w:val="00E037F5"/>
    <w:rsid w:val="00E644FB"/>
    <w:rsid w:val="00E80387"/>
    <w:rsid w:val="00EB1F40"/>
    <w:rsid w:val="00F4475C"/>
    <w:rsid w:val="00FD45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0A4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6216AE"/>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Bibliography">
    <w:name w:val="Bibliography"/>
    <w:basedOn w:val="Normal"/>
    <w:next w:val="Normal"/>
    <w:uiPriority w:val="37"/>
    <w:unhideWhenUsed/>
    <w:rsid w:val="006E0B93"/>
  </w:style>
  <w:style w:type="paragraph" w:styleId="BalloonText">
    <w:name w:val="Balloon Text"/>
    <w:basedOn w:val="Normal"/>
    <w:link w:val="BalloonTextChar"/>
    <w:uiPriority w:val="99"/>
    <w:semiHidden/>
    <w:unhideWhenUsed/>
    <w:rsid w:val="00A6342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6342E"/>
    <w:rPr>
      <w:rFonts w:ascii="Tahoma" w:hAnsi="Tahoma" w:cs="Tahoma"/>
      <w:sz w:val="16"/>
      <w:szCs w:val="16"/>
    </w:rPr>
  </w:style>
  <w:style w:type="paragraph" w:styleId="Header">
    <w:name w:val="header"/>
    <w:basedOn w:val="Normal"/>
    <w:link w:val="HeaderChar"/>
    <w:uiPriority w:val="99"/>
    <w:unhideWhenUsed/>
    <w:rsid w:val="00470512"/>
    <w:pPr>
      <w:tabs>
        <w:tab w:val="center" w:pos="4680"/>
        <w:tab w:val="right" w:pos="9360"/>
      </w:tabs>
      <w:spacing w:after="0" w:line="240" w:lineRule="auto"/>
    </w:pPr>
  </w:style>
  <w:style w:type="character" w:customStyle="1" w:styleId="HeaderChar">
    <w:name w:val="Header Char"/>
    <w:basedOn w:val="DefaultParagraphFont"/>
    <w:link w:val="Header"/>
    <w:uiPriority w:val="99"/>
    <w:rsid w:val="00470512"/>
  </w:style>
  <w:style w:type="paragraph" w:styleId="Footer">
    <w:name w:val="footer"/>
    <w:basedOn w:val="Normal"/>
    <w:link w:val="FooterChar"/>
    <w:uiPriority w:val="99"/>
    <w:unhideWhenUsed/>
    <w:rsid w:val="00470512"/>
    <w:pPr>
      <w:tabs>
        <w:tab w:val="center" w:pos="4680"/>
        <w:tab w:val="right" w:pos="9360"/>
      </w:tabs>
      <w:spacing w:after="0" w:line="240" w:lineRule="auto"/>
    </w:pPr>
  </w:style>
  <w:style w:type="character" w:customStyle="1" w:styleId="FooterChar">
    <w:name w:val="Footer Char"/>
    <w:basedOn w:val="DefaultParagraphFont"/>
    <w:link w:val="Footer"/>
    <w:uiPriority w:val="99"/>
    <w:rsid w:val="0047051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0A4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6216AE"/>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Bibliography">
    <w:name w:val="Bibliography"/>
    <w:basedOn w:val="Normal"/>
    <w:next w:val="Normal"/>
    <w:uiPriority w:val="37"/>
    <w:unhideWhenUsed/>
    <w:rsid w:val="006E0B93"/>
  </w:style>
  <w:style w:type="paragraph" w:styleId="BalloonText">
    <w:name w:val="Balloon Text"/>
    <w:basedOn w:val="Normal"/>
    <w:link w:val="BalloonTextChar"/>
    <w:uiPriority w:val="99"/>
    <w:semiHidden/>
    <w:unhideWhenUsed/>
    <w:rsid w:val="00A6342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6342E"/>
    <w:rPr>
      <w:rFonts w:ascii="Tahoma" w:hAnsi="Tahoma" w:cs="Tahoma"/>
      <w:sz w:val="16"/>
      <w:szCs w:val="16"/>
    </w:rPr>
  </w:style>
  <w:style w:type="paragraph" w:styleId="Header">
    <w:name w:val="header"/>
    <w:basedOn w:val="Normal"/>
    <w:link w:val="HeaderChar"/>
    <w:uiPriority w:val="99"/>
    <w:unhideWhenUsed/>
    <w:rsid w:val="00470512"/>
    <w:pPr>
      <w:tabs>
        <w:tab w:val="center" w:pos="4680"/>
        <w:tab w:val="right" w:pos="9360"/>
      </w:tabs>
      <w:spacing w:after="0" w:line="240" w:lineRule="auto"/>
    </w:pPr>
  </w:style>
  <w:style w:type="character" w:customStyle="1" w:styleId="HeaderChar">
    <w:name w:val="Header Char"/>
    <w:basedOn w:val="DefaultParagraphFont"/>
    <w:link w:val="Header"/>
    <w:uiPriority w:val="99"/>
    <w:rsid w:val="00470512"/>
  </w:style>
  <w:style w:type="paragraph" w:styleId="Footer">
    <w:name w:val="footer"/>
    <w:basedOn w:val="Normal"/>
    <w:link w:val="FooterChar"/>
    <w:uiPriority w:val="99"/>
    <w:unhideWhenUsed/>
    <w:rsid w:val="00470512"/>
    <w:pPr>
      <w:tabs>
        <w:tab w:val="center" w:pos="4680"/>
        <w:tab w:val="right" w:pos="9360"/>
      </w:tabs>
      <w:spacing w:after="0" w:line="240" w:lineRule="auto"/>
    </w:pPr>
  </w:style>
  <w:style w:type="character" w:customStyle="1" w:styleId="FooterChar">
    <w:name w:val="Footer Char"/>
    <w:basedOn w:val="DefaultParagraphFont"/>
    <w:link w:val="Footer"/>
    <w:uiPriority w:val="99"/>
    <w:rsid w:val="004705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701048">
      <w:bodyDiv w:val="1"/>
      <w:marLeft w:val="0"/>
      <w:marRight w:val="0"/>
      <w:marTop w:val="0"/>
      <w:marBottom w:val="0"/>
      <w:divBdr>
        <w:top w:val="none" w:sz="0" w:space="0" w:color="auto"/>
        <w:left w:val="none" w:sz="0" w:space="0" w:color="auto"/>
        <w:bottom w:val="none" w:sz="0" w:space="0" w:color="auto"/>
        <w:right w:val="none" w:sz="0" w:space="0" w:color="auto"/>
      </w:divBdr>
    </w:div>
    <w:div w:id="39287883">
      <w:bodyDiv w:val="1"/>
      <w:marLeft w:val="0"/>
      <w:marRight w:val="0"/>
      <w:marTop w:val="0"/>
      <w:marBottom w:val="0"/>
      <w:divBdr>
        <w:top w:val="none" w:sz="0" w:space="0" w:color="auto"/>
        <w:left w:val="none" w:sz="0" w:space="0" w:color="auto"/>
        <w:bottom w:val="none" w:sz="0" w:space="0" w:color="auto"/>
        <w:right w:val="none" w:sz="0" w:space="0" w:color="auto"/>
      </w:divBdr>
    </w:div>
    <w:div w:id="118577258">
      <w:bodyDiv w:val="1"/>
      <w:marLeft w:val="0"/>
      <w:marRight w:val="0"/>
      <w:marTop w:val="0"/>
      <w:marBottom w:val="0"/>
      <w:divBdr>
        <w:top w:val="none" w:sz="0" w:space="0" w:color="auto"/>
        <w:left w:val="none" w:sz="0" w:space="0" w:color="auto"/>
        <w:bottom w:val="none" w:sz="0" w:space="0" w:color="auto"/>
        <w:right w:val="none" w:sz="0" w:space="0" w:color="auto"/>
      </w:divBdr>
    </w:div>
    <w:div w:id="194852025">
      <w:bodyDiv w:val="1"/>
      <w:marLeft w:val="0"/>
      <w:marRight w:val="0"/>
      <w:marTop w:val="0"/>
      <w:marBottom w:val="0"/>
      <w:divBdr>
        <w:top w:val="none" w:sz="0" w:space="0" w:color="auto"/>
        <w:left w:val="none" w:sz="0" w:space="0" w:color="auto"/>
        <w:bottom w:val="none" w:sz="0" w:space="0" w:color="auto"/>
        <w:right w:val="none" w:sz="0" w:space="0" w:color="auto"/>
      </w:divBdr>
    </w:div>
    <w:div w:id="275212753">
      <w:bodyDiv w:val="1"/>
      <w:marLeft w:val="0"/>
      <w:marRight w:val="0"/>
      <w:marTop w:val="0"/>
      <w:marBottom w:val="0"/>
      <w:divBdr>
        <w:top w:val="none" w:sz="0" w:space="0" w:color="auto"/>
        <w:left w:val="none" w:sz="0" w:space="0" w:color="auto"/>
        <w:bottom w:val="none" w:sz="0" w:space="0" w:color="auto"/>
        <w:right w:val="none" w:sz="0" w:space="0" w:color="auto"/>
      </w:divBdr>
    </w:div>
    <w:div w:id="366150031">
      <w:bodyDiv w:val="1"/>
      <w:marLeft w:val="0"/>
      <w:marRight w:val="0"/>
      <w:marTop w:val="0"/>
      <w:marBottom w:val="0"/>
      <w:divBdr>
        <w:top w:val="none" w:sz="0" w:space="0" w:color="auto"/>
        <w:left w:val="none" w:sz="0" w:space="0" w:color="auto"/>
        <w:bottom w:val="none" w:sz="0" w:space="0" w:color="auto"/>
        <w:right w:val="none" w:sz="0" w:space="0" w:color="auto"/>
      </w:divBdr>
    </w:div>
    <w:div w:id="476924527">
      <w:bodyDiv w:val="1"/>
      <w:marLeft w:val="0"/>
      <w:marRight w:val="0"/>
      <w:marTop w:val="0"/>
      <w:marBottom w:val="0"/>
      <w:divBdr>
        <w:top w:val="none" w:sz="0" w:space="0" w:color="auto"/>
        <w:left w:val="none" w:sz="0" w:space="0" w:color="auto"/>
        <w:bottom w:val="none" w:sz="0" w:space="0" w:color="auto"/>
        <w:right w:val="none" w:sz="0" w:space="0" w:color="auto"/>
      </w:divBdr>
    </w:div>
    <w:div w:id="488135389">
      <w:bodyDiv w:val="1"/>
      <w:marLeft w:val="0"/>
      <w:marRight w:val="0"/>
      <w:marTop w:val="0"/>
      <w:marBottom w:val="0"/>
      <w:divBdr>
        <w:top w:val="none" w:sz="0" w:space="0" w:color="auto"/>
        <w:left w:val="none" w:sz="0" w:space="0" w:color="auto"/>
        <w:bottom w:val="none" w:sz="0" w:space="0" w:color="auto"/>
        <w:right w:val="none" w:sz="0" w:space="0" w:color="auto"/>
      </w:divBdr>
    </w:div>
    <w:div w:id="551768208">
      <w:bodyDiv w:val="1"/>
      <w:marLeft w:val="0"/>
      <w:marRight w:val="0"/>
      <w:marTop w:val="0"/>
      <w:marBottom w:val="0"/>
      <w:divBdr>
        <w:top w:val="none" w:sz="0" w:space="0" w:color="auto"/>
        <w:left w:val="none" w:sz="0" w:space="0" w:color="auto"/>
        <w:bottom w:val="none" w:sz="0" w:space="0" w:color="auto"/>
        <w:right w:val="none" w:sz="0" w:space="0" w:color="auto"/>
      </w:divBdr>
    </w:div>
    <w:div w:id="592278825">
      <w:bodyDiv w:val="1"/>
      <w:marLeft w:val="0"/>
      <w:marRight w:val="0"/>
      <w:marTop w:val="0"/>
      <w:marBottom w:val="0"/>
      <w:divBdr>
        <w:top w:val="none" w:sz="0" w:space="0" w:color="auto"/>
        <w:left w:val="none" w:sz="0" w:space="0" w:color="auto"/>
        <w:bottom w:val="none" w:sz="0" w:space="0" w:color="auto"/>
        <w:right w:val="none" w:sz="0" w:space="0" w:color="auto"/>
      </w:divBdr>
    </w:div>
    <w:div w:id="747843520">
      <w:bodyDiv w:val="1"/>
      <w:marLeft w:val="0"/>
      <w:marRight w:val="0"/>
      <w:marTop w:val="0"/>
      <w:marBottom w:val="0"/>
      <w:divBdr>
        <w:top w:val="none" w:sz="0" w:space="0" w:color="auto"/>
        <w:left w:val="none" w:sz="0" w:space="0" w:color="auto"/>
        <w:bottom w:val="none" w:sz="0" w:space="0" w:color="auto"/>
        <w:right w:val="none" w:sz="0" w:space="0" w:color="auto"/>
      </w:divBdr>
    </w:div>
    <w:div w:id="769621101">
      <w:bodyDiv w:val="1"/>
      <w:marLeft w:val="0"/>
      <w:marRight w:val="0"/>
      <w:marTop w:val="0"/>
      <w:marBottom w:val="0"/>
      <w:divBdr>
        <w:top w:val="none" w:sz="0" w:space="0" w:color="auto"/>
        <w:left w:val="none" w:sz="0" w:space="0" w:color="auto"/>
        <w:bottom w:val="none" w:sz="0" w:space="0" w:color="auto"/>
        <w:right w:val="none" w:sz="0" w:space="0" w:color="auto"/>
      </w:divBdr>
    </w:div>
    <w:div w:id="795876838">
      <w:bodyDiv w:val="1"/>
      <w:marLeft w:val="0"/>
      <w:marRight w:val="0"/>
      <w:marTop w:val="0"/>
      <w:marBottom w:val="0"/>
      <w:divBdr>
        <w:top w:val="none" w:sz="0" w:space="0" w:color="auto"/>
        <w:left w:val="none" w:sz="0" w:space="0" w:color="auto"/>
        <w:bottom w:val="none" w:sz="0" w:space="0" w:color="auto"/>
        <w:right w:val="none" w:sz="0" w:space="0" w:color="auto"/>
      </w:divBdr>
    </w:div>
    <w:div w:id="918636524">
      <w:bodyDiv w:val="1"/>
      <w:marLeft w:val="0"/>
      <w:marRight w:val="0"/>
      <w:marTop w:val="0"/>
      <w:marBottom w:val="0"/>
      <w:divBdr>
        <w:top w:val="none" w:sz="0" w:space="0" w:color="auto"/>
        <w:left w:val="none" w:sz="0" w:space="0" w:color="auto"/>
        <w:bottom w:val="none" w:sz="0" w:space="0" w:color="auto"/>
        <w:right w:val="none" w:sz="0" w:space="0" w:color="auto"/>
      </w:divBdr>
    </w:div>
    <w:div w:id="933395820">
      <w:bodyDiv w:val="1"/>
      <w:marLeft w:val="0"/>
      <w:marRight w:val="0"/>
      <w:marTop w:val="0"/>
      <w:marBottom w:val="0"/>
      <w:divBdr>
        <w:top w:val="none" w:sz="0" w:space="0" w:color="auto"/>
        <w:left w:val="none" w:sz="0" w:space="0" w:color="auto"/>
        <w:bottom w:val="none" w:sz="0" w:space="0" w:color="auto"/>
        <w:right w:val="none" w:sz="0" w:space="0" w:color="auto"/>
      </w:divBdr>
    </w:div>
    <w:div w:id="950862148">
      <w:bodyDiv w:val="1"/>
      <w:marLeft w:val="0"/>
      <w:marRight w:val="0"/>
      <w:marTop w:val="0"/>
      <w:marBottom w:val="0"/>
      <w:divBdr>
        <w:top w:val="none" w:sz="0" w:space="0" w:color="auto"/>
        <w:left w:val="none" w:sz="0" w:space="0" w:color="auto"/>
        <w:bottom w:val="none" w:sz="0" w:space="0" w:color="auto"/>
        <w:right w:val="none" w:sz="0" w:space="0" w:color="auto"/>
      </w:divBdr>
    </w:div>
    <w:div w:id="987241909">
      <w:bodyDiv w:val="1"/>
      <w:marLeft w:val="0"/>
      <w:marRight w:val="0"/>
      <w:marTop w:val="0"/>
      <w:marBottom w:val="0"/>
      <w:divBdr>
        <w:top w:val="none" w:sz="0" w:space="0" w:color="auto"/>
        <w:left w:val="none" w:sz="0" w:space="0" w:color="auto"/>
        <w:bottom w:val="none" w:sz="0" w:space="0" w:color="auto"/>
        <w:right w:val="none" w:sz="0" w:space="0" w:color="auto"/>
      </w:divBdr>
    </w:div>
    <w:div w:id="1057897443">
      <w:bodyDiv w:val="1"/>
      <w:marLeft w:val="0"/>
      <w:marRight w:val="0"/>
      <w:marTop w:val="0"/>
      <w:marBottom w:val="0"/>
      <w:divBdr>
        <w:top w:val="none" w:sz="0" w:space="0" w:color="auto"/>
        <w:left w:val="none" w:sz="0" w:space="0" w:color="auto"/>
        <w:bottom w:val="none" w:sz="0" w:space="0" w:color="auto"/>
        <w:right w:val="none" w:sz="0" w:space="0" w:color="auto"/>
      </w:divBdr>
    </w:div>
    <w:div w:id="1069613530">
      <w:bodyDiv w:val="1"/>
      <w:marLeft w:val="0"/>
      <w:marRight w:val="0"/>
      <w:marTop w:val="0"/>
      <w:marBottom w:val="0"/>
      <w:divBdr>
        <w:top w:val="none" w:sz="0" w:space="0" w:color="auto"/>
        <w:left w:val="none" w:sz="0" w:space="0" w:color="auto"/>
        <w:bottom w:val="none" w:sz="0" w:space="0" w:color="auto"/>
        <w:right w:val="none" w:sz="0" w:space="0" w:color="auto"/>
      </w:divBdr>
    </w:div>
    <w:div w:id="1178621272">
      <w:bodyDiv w:val="1"/>
      <w:marLeft w:val="0"/>
      <w:marRight w:val="0"/>
      <w:marTop w:val="0"/>
      <w:marBottom w:val="0"/>
      <w:divBdr>
        <w:top w:val="none" w:sz="0" w:space="0" w:color="auto"/>
        <w:left w:val="none" w:sz="0" w:space="0" w:color="auto"/>
        <w:bottom w:val="none" w:sz="0" w:space="0" w:color="auto"/>
        <w:right w:val="none" w:sz="0" w:space="0" w:color="auto"/>
      </w:divBdr>
    </w:div>
    <w:div w:id="1247568864">
      <w:bodyDiv w:val="1"/>
      <w:marLeft w:val="0"/>
      <w:marRight w:val="0"/>
      <w:marTop w:val="0"/>
      <w:marBottom w:val="0"/>
      <w:divBdr>
        <w:top w:val="none" w:sz="0" w:space="0" w:color="auto"/>
        <w:left w:val="none" w:sz="0" w:space="0" w:color="auto"/>
        <w:bottom w:val="none" w:sz="0" w:space="0" w:color="auto"/>
        <w:right w:val="none" w:sz="0" w:space="0" w:color="auto"/>
      </w:divBdr>
    </w:div>
    <w:div w:id="1261378052">
      <w:bodyDiv w:val="1"/>
      <w:marLeft w:val="0"/>
      <w:marRight w:val="0"/>
      <w:marTop w:val="0"/>
      <w:marBottom w:val="0"/>
      <w:divBdr>
        <w:top w:val="none" w:sz="0" w:space="0" w:color="auto"/>
        <w:left w:val="none" w:sz="0" w:space="0" w:color="auto"/>
        <w:bottom w:val="none" w:sz="0" w:space="0" w:color="auto"/>
        <w:right w:val="none" w:sz="0" w:space="0" w:color="auto"/>
      </w:divBdr>
    </w:div>
    <w:div w:id="1274241001">
      <w:bodyDiv w:val="1"/>
      <w:marLeft w:val="0"/>
      <w:marRight w:val="0"/>
      <w:marTop w:val="0"/>
      <w:marBottom w:val="0"/>
      <w:divBdr>
        <w:top w:val="none" w:sz="0" w:space="0" w:color="auto"/>
        <w:left w:val="none" w:sz="0" w:space="0" w:color="auto"/>
        <w:bottom w:val="none" w:sz="0" w:space="0" w:color="auto"/>
        <w:right w:val="none" w:sz="0" w:space="0" w:color="auto"/>
      </w:divBdr>
    </w:div>
    <w:div w:id="1352222414">
      <w:bodyDiv w:val="1"/>
      <w:marLeft w:val="0"/>
      <w:marRight w:val="0"/>
      <w:marTop w:val="0"/>
      <w:marBottom w:val="0"/>
      <w:divBdr>
        <w:top w:val="none" w:sz="0" w:space="0" w:color="auto"/>
        <w:left w:val="none" w:sz="0" w:space="0" w:color="auto"/>
        <w:bottom w:val="none" w:sz="0" w:space="0" w:color="auto"/>
        <w:right w:val="none" w:sz="0" w:space="0" w:color="auto"/>
      </w:divBdr>
    </w:div>
    <w:div w:id="1363941947">
      <w:bodyDiv w:val="1"/>
      <w:marLeft w:val="0"/>
      <w:marRight w:val="0"/>
      <w:marTop w:val="0"/>
      <w:marBottom w:val="0"/>
      <w:divBdr>
        <w:top w:val="none" w:sz="0" w:space="0" w:color="auto"/>
        <w:left w:val="none" w:sz="0" w:space="0" w:color="auto"/>
        <w:bottom w:val="none" w:sz="0" w:space="0" w:color="auto"/>
        <w:right w:val="none" w:sz="0" w:space="0" w:color="auto"/>
      </w:divBdr>
    </w:div>
    <w:div w:id="1407609971">
      <w:bodyDiv w:val="1"/>
      <w:marLeft w:val="0"/>
      <w:marRight w:val="0"/>
      <w:marTop w:val="0"/>
      <w:marBottom w:val="0"/>
      <w:divBdr>
        <w:top w:val="none" w:sz="0" w:space="0" w:color="auto"/>
        <w:left w:val="none" w:sz="0" w:space="0" w:color="auto"/>
        <w:bottom w:val="none" w:sz="0" w:space="0" w:color="auto"/>
        <w:right w:val="none" w:sz="0" w:space="0" w:color="auto"/>
      </w:divBdr>
    </w:div>
    <w:div w:id="1516723952">
      <w:bodyDiv w:val="1"/>
      <w:marLeft w:val="0"/>
      <w:marRight w:val="0"/>
      <w:marTop w:val="0"/>
      <w:marBottom w:val="0"/>
      <w:divBdr>
        <w:top w:val="none" w:sz="0" w:space="0" w:color="auto"/>
        <w:left w:val="none" w:sz="0" w:space="0" w:color="auto"/>
        <w:bottom w:val="none" w:sz="0" w:space="0" w:color="auto"/>
        <w:right w:val="none" w:sz="0" w:space="0" w:color="auto"/>
      </w:divBdr>
    </w:div>
    <w:div w:id="1603145497">
      <w:bodyDiv w:val="1"/>
      <w:marLeft w:val="0"/>
      <w:marRight w:val="0"/>
      <w:marTop w:val="0"/>
      <w:marBottom w:val="0"/>
      <w:divBdr>
        <w:top w:val="none" w:sz="0" w:space="0" w:color="auto"/>
        <w:left w:val="none" w:sz="0" w:space="0" w:color="auto"/>
        <w:bottom w:val="none" w:sz="0" w:space="0" w:color="auto"/>
        <w:right w:val="none" w:sz="0" w:space="0" w:color="auto"/>
      </w:divBdr>
    </w:div>
    <w:div w:id="1745223833">
      <w:bodyDiv w:val="1"/>
      <w:marLeft w:val="0"/>
      <w:marRight w:val="0"/>
      <w:marTop w:val="0"/>
      <w:marBottom w:val="0"/>
      <w:divBdr>
        <w:top w:val="none" w:sz="0" w:space="0" w:color="auto"/>
        <w:left w:val="none" w:sz="0" w:space="0" w:color="auto"/>
        <w:bottom w:val="none" w:sz="0" w:space="0" w:color="auto"/>
        <w:right w:val="none" w:sz="0" w:space="0" w:color="auto"/>
      </w:divBdr>
    </w:div>
    <w:div w:id="1759130471">
      <w:bodyDiv w:val="1"/>
      <w:marLeft w:val="0"/>
      <w:marRight w:val="0"/>
      <w:marTop w:val="0"/>
      <w:marBottom w:val="0"/>
      <w:divBdr>
        <w:top w:val="none" w:sz="0" w:space="0" w:color="auto"/>
        <w:left w:val="none" w:sz="0" w:space="0" w:color="auto"/>
        <w:bottom w:val="none" w:sz="0" w:space="0" w:color="auto"/>
        <w:right w:val="none" w:sz="0" w:space="0" w:color="auto"/>
      </w:divBdr>
    </w:div>
    <w:div w:id="1759135842">
      <w:bodyDiv w:val="1"/>
      <w:marLeft w:val="0"/>
      <w:marRight w:val="0"/>
      <w:marTop w:val="0"/>
      <w:marBottom w:val="0"/>
      <w:divBdr>
        <w:top w:val="none" w:sz="0" w:space="0" w:color="auto"/>
        <w:left w:val="none" w:sz="0" w:space="0" w:color="auto"/>
        <w:bottom w:val="none" w:sz="0" w:space="0" w:color="auto"/>
        <w:right w:val="none" w:sz="0" w:space="0" w:color="auto"/>
      </w:divBdr>
    </w:div>
    <w:div w:id="1762919205">
      <w:bodyDiv w:val="1"/>
      <w:marLeft w:val="0"/>
      <w:marRight w:val="0"/>
      <w:marTop w:val="0"/>
      <w:marBottom w:val="0"/>
      <w:divBdr>
        <w:top w:val="none" w:sz="0" w:space="0" w:color="auto"/>
        <w:left w:val="none" w:sz="0" w:space="0" w:color="auto"/>
        <w:bottom w:val="none" w:sz="0" w:space="0" w:color="auto"/>
        <w:right w:val="none" w:sz="0" w:space="0" w:color="auto"/>
      </w:divBdr>
    </w:div>
    <w:div w:id="1855193867">
      <w:bodyDiv w:val="1"/>
      <w:marLeft w:val="0"/>
      <w:marRight w:val="0"/>
      <w:marTop w:val="0"/>
      <w:marBottom w:val="0"/>
      <w:divBdr>
        <w:top w:val="none" w:sz="0" w:space="0" w:color="auto"/>
        <w:left w:val="none" w:sz="0" w:space="0" w:color="auto"/>
        <w:bottom w:val="none" w:sz="0" w:space="0" w:color="auto"/>
        <w:right w:val="none" w:sz="0" w:space="0" w:color="auto"/>
      </w:divBdr>
    </w:div>
    <w:div w:id="1888948590">
      <w:bodyDiv w:val="1"/>
      <w:marLeft w:val="0"/>
      <w:marRight w:val="0"/>
      <w:marTop w:val="0"/>
      <w:marBottom w:val="0"/>
      <w:divBdr>
        <w:top w:val="none" w:sz="0" w:space="0" w:color="auto"/>
        <w:left w:val="none" w:sz="0" w:space="0" w:color="auto"/>
        <w:bottom w:val="none" w:sz="0" w:space="0" w:color="auto"/>
        <w:right w:val="none" w:sz="0" w:space="0" w:color="auto"/>
      </w:divBdr>
    </w:div>
    <w:div w:id="1943537791">
      <w:bodyDiv w:val="1"/>
      <w:marLeft w:val="0"/>
      <w:marRight w:val="0"/>
      <w:marTop w:val="0"/>
      <w:marBottom w:val="0"/>
      <w:divBdr>
        <w:top w:val="none" w:sz="0" w:space="0" w:color="auto"/>
        <w:left w:val="none" w:sz="0" w:space="0" w:color="auto"/>
        <w:bottom w:val="none" w:sz="0" w:space="0" w:color="auto"/>
        <w:right w:val="none" w:sz="0" w:space="0" w:color="auto"/>
      </w:divBdr>
    </w:div>
    <w:div w:id="1992753242">
      <w:bodyDiv w:val="1"/>
      <w:marLeft w:val="0"/>
      <w:marRight w:val="0"/>
      <w:marTop w:val="0"/>
      <w:marBottom w:val="0"/>
      <w:divBdr>
        <w:top w:val="none" w:sz="0" w:space="0" w:color="auto"/>
        <w:left w:val="none" w:sz="0" w:space="0" w:color="auto"/>
        <w:bottom w:val="none" w:sz="0" w:space="0" w:color="auto"/>
        <w:right w:val="none" w:sz="0" w:space="0" w:color="auto"/>
      </w:divBdr>
    </w:div>
    <w:div w:id="2052457317">
      <w:bodyDiv w:val="1"/>
      <w:marLeft w:val="0"/>
      <w:marRight w:val="0"/>
      <w:marTop w:val="0"/>
      <w:marBottom w:val="0"/>
      <w:divBdr>
        <w:top w:val="none" w:sz="0" w:space="0" w:color="auto"/>
        <w:left w:val="none" w:sz="0" w:space="0" w:color="auto"/>
        <w:bottom w:val="none" w:sz="0" w:space="0" w:color="auto"/>
        <w:right w:val="none" w:sz="0" w:space="0" w:color="auto"/>
      </w:divBdr>
    </w:div>
    <w:div w:id="20746951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Confidence</a:t>
            </a:r>
            <a:r>
              <a:rPr lang="en-US" baseline="0"/>
              <a:t> Ratings of the Information on Health Effects of Oregano</a:t>
            </a:r>
            <a:endParaRPr lang="en-US"/>
          </a:p>
        </c:rich>
      </c:tx>
      <c:overlay val="0"/>
    </c:title>
    <c:autoTitleDeleted val="0"/>
    <c:view3D>
      <c:rotX val="15"/>
      <c:rotY val="20"/>
      <c:rAngAx val="0"/>
      <c:perspective val="30"/>
    </c:view3D>
    <c:floor>
      <c:thickness val="0"/>
    </c:floor>
    <c:sideWall>
      <c:thickness val="0"/>
    </c:sideWall>
    <c:backWall>
      <c:thickness val="0"/>
    </c:backWall>
    <c:plotArea>
      <c:layout/>
      <c:bar3DChart>
        <c:barDir val="bar"/>
        <c:grouping val="clustered"/>
        <c:varyColors val="0"/>
        <c:ser>
          <c:idx val="0"/>
          <c:order val="0"/>
          <c:tx>
            <c:strRef>
              <c:f>Sheet1!$B$1</c:f>
              <c:strCache>
                <c:ptCount val="1"/>
                <c:pt idx="0">
                  <c:v>Series 1</c:v>
                </c:pt>
              </c:strCache>
            </c:strRef>
          </c:tx>
          <c:invertIfNegative val="0"/>
          <c:cat>
            <c:strRef>
              <c:f>Sheet1!$A$2:$A$13</c:f>
              <c:strCache>
                <c:ptCount val="12"/>
                <c:pt idx="0">
                  <c:v>cuts &amp; wounds</c:v>
                </c:pt>
                <c:pt idx="1">
                  <c:v>diabetes</c:v>
                </c:pt>
                <c:pt idx="2">
                  <c:v>facial care</c:v>
                </c:pt>
                <c:pt idx="3">
                  <c:v>migraine &amp; headache</c:v>
                </c:pt>
                <c:pt idx="4">
                  <c:v>antioxidation</c:v>
                </c:pt>
                <c:pt idx="5">
                  <c:v>antibacterial activity</c:v>
                </c:pt>
                <c:pt idx="6">
                  <c:v>heart health</c:v>
                </c:pt>
                <c:pt idx="7">
                  <c:v>antiviral activity</c:v>
                </c:pt>
                <c:pt idx="8">
                  <c:v>gastrointestinal tract ailments</c:v>
                </c:pt>
                <c:pt idx="9">
                  <c:v>respiratory tract ailments</c:v>
                </c:pt>
                <c:pt idx="10">
                  <c:v>hemophilia</c:v>
                </c:pt>
                <c:pt idx="11">
                  <c:v>anticancer activity</c:v>
                </c:pt>
              </c:strCache>
            </c:strRef>
          </c:cat>
          <c:val>
            <c:numRef>
              <c:f>Sheet1!$B$2:$B$13</c:f>
              <c:numCache>
                <c:formatCode>General</c:formatCode>
                <c:ptCount val="12"/>
                <c:pt idx="0">
                  <c:v>9</c:v>
                </c:pt>
                <c:pt idx="1">
                  <c:v>3</c:v>
                </c:pt>
                <c:pt idx="2">
                  <c:v>8</c:v>
                </c:pt>
                <c:pt idx="3">
                  <c:v>4.5</c:v>
                </c:pt>
                <c:pt idx="4">
                  <c:v>7</c:v>
                </c:pt>
                <c:pt idx="5">
                  <c:v>5</c:v>
                </c:pt>
                <c:pt idx="6">
                  <c:v>0</c:v>
                </c:pt>
                <c:pt idx="7">
                  <c:v>5</c:v>
                </c:pt>
                <c:pt idx="8">
                  <c:v>6</c:v>
                </c:pt>
                <c:pt idx="9">
                  <c:v>6</c:v>
                </c:pt>
                <c:pt idx="10">
                  <c:v>0</c:v>
                </c:pt>
                <c:pt idx="11">
                  <c:v>3</c:v>
                </c:pt>
              </c:numCache>
            </c:numRef>
          </c:val>
          <c:extLst xmlns:c16r2="http://schemas.microsoft.com/office/drawing/2015/06/chart">
            <c:ext xmlns:c16="http://schemas.microsoft.com/office/drawing/2014/chart" uri="{C3380CC4-5D6E-409C-BE32-E72D297353CC}">
              <c16:uniqueId val="{00000000-3E63-43FB-B9B4-88A90EB55D73}"/>
            </c:ext>
          </c:extLst>
        </c:ser>
        <c:dLbls>
          <c:showLegendKey val="0"/>
          <c:showVal val="0"/>
          <c:showCatName val="0"/>
          <c:showSerName val="0"/>
          <c:showPercent val="0"/>
          <c:showBubbleSize val="0"/>
        </c:dLbls>
        <c:gapWidth val="150"/>
        <c:shape val="box"/>
        <c:axId val="401487744"/>
        <c:axId val="401489280"/>
        <c:axId val="0"/>
      </c:bar3DChart>
      <c:catAx>
        <c:axId val="401487744"/>
        <c:scaling>
          <c:orientation val="minMax"/>
        </c:scaling>
        <c:delete val="0"/>
        <c:axPos val="l"/>
        <c:numFmt formatCode="General" sourceLinked="0"/>
        <c:majorTickMark val="out"/>
        <c:minorTickMark val="none"/>
        <c:tickLblPos val="nextTo"/>
        <c:crossAx val="401489280"/>
        <c:crosses val="autoZero"/>
        <c:auto val="1"/>
        <c:lblAlgn val="ctr"/>
        <c:lblOffset val="100"/>
        <c:noMultiLvlLbl val="0"/>
      </c:catAx>
      <c:valAx>
        <c:axId val="401489280"/>
        <c:scaling>
          <c:orientation val="minMax"/>
        </c:scaling>
        <c:delete val="0"/>
        <c:axPos val="b"/>
        <c:majorGridlines/>
        <c:numFmt formatCode="General" sourceLinked="1"/>
        <c:majorTickMark val="out"/>
        <c:minorTickMark val="none"/>
        <c:tickLblPos val="nextTo"/>
        <c:crossAx val="401487744"/>
        <c:crosses val="autoZero"/>
        <c:crossBetween val="between"/>
      </c:valAx>
    </c:plotArea>
    <c:legend>
      <c:legendPos val="r"/>
      <c:overlay val="0"/>
    </c:legend>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b:Source>
    <b:Tag>Jen11</b:Tag>
    <b:SourceType>JournalArticle</b:SourceType>
    <b:Guid>{304A63C5-9622-4517-B22B-DF49F64644F0}</b:Guid>
    <b:Author>
      <b:Author>
        <b:NameList>
          <b:Person>
            <b:Last>Jennifer Ragi</b:Last>
            <b:First>M.D.,</b:First>
            <b:Middle>Amy Pappert, M.D. and Babar Rao, M.D</b:Middle>
          </b:Person>
        </b:NameList>
      </b:Author>
    </b:Author>
    <b:Title>Oregano extract ointment for wound healing: a randomized, double-blind, petrolatum-controlled study evaluating efficacy</b:Title>
    <b:JournalName>Journal of Drugs in Dermatology</b:JournalName>
    <b:Year>2011</b:Year>
    <b:Pages>pp.1168-1172</b:Pages>
    <b:Volume>10</b:Volume>
    <b:Issue>10</b:Issue>
    <b:RefOrder>12</b:RefOrder>
  </b:Source>
  <b:Source>
    <b:Tag>Ami16</b:Tag>
    <b:SourceType>JournalArticle</b:SourceType>
    <b:Guid>{90001790-DDCC-47FA-B7C1-03695AD7B646}</b:Guid>
    <b:Author>
      <b:Author>
        <b:NameList>
          <b:Person>
            <b:Last>Amit Baran</b:Last>
            <b:First>S.</b:First>
          </b:Person>
        </b:NameList>
      </b:Author>
    </b:Author>
    <b:Title>Medicinal Plants: The Magic of Wound Healing Activity</b:Title>
    <b:JournalName>Current Traditional Medicine</b:JournalName>
    <b:Year>2016</b:Year>
    <b:Pages>pp.186-206</b:Pages>
    <b:Volume>2</b:Volume>
    <b:Issue>3</b:Issue>
    <b:RefOrder>2</b:RefOrder>
  </b:Source>
  <b:Source>
    <b:Tag>Pes15</b:Tag>
    <b:SourceType>JournalArticle</b:SourceType>
    <b:Guid>{C2A4F12F-8D55-46D2-BCBF-A55A755F34EC}</b:Guid>
    <b:Author>
      <b:Author>
        <b:NameList>
          <b:Person>
            <b:Last>Pesavento</b:Last>
            <b:First>G.,</b:First>
            <b:Middle>Calonico, C., Bilia, A.R., Barnabei, M., Calesini, F., Addona, R., Mencarelli, L., Carmagnini, L., Di Martino, M.C. and Nostro, A.L</b:Middle>
          </b:Person>
        </b:NameList>
      </b:Author>
    </b:Author>
    <b:Title>Antibacterial activity of Oregano, Rosmarinus and Thymus essential oils against Staphylococcus aureus and Listeria monocytogenes in beef meatballs</b:Title>
    <b:JournalName>Food Control</b:JournalName>
    <b:Year>2015</b:Year>
    <b:Pages>pp.188-199</b:Pages>
    <b:Volume>54</b:Volume>
    <b:RefOrder>5</b:RefOrder>
  </b:Source>
  <b:Source>
    <b:Tag>San14</b:Tag>
    <b:SourceType>JournalArticle</b:SourceType>
    <b:Guid>{331134D3-0D15-421D-BDF9-19F81E5494C0}</b:Guid>
    <b:Author>
      <b:Author>
        <b:NameList>
          <b:Person>
            <b:Last>Santoyo</b:Last>
            <b:First>S.,</b:First>
            <b:Middle>Jaime, L., García-Risco, M.R., Ruíz-Rodríguez, A. and Reglero, G.</b:Middle>
          </b:Person>
        </b:NameList>
      </b:Author>
    </b:Author>
    <b:Title>Antiviral properties of supercritical CO2 extracts from oregano and sage</b:Title>
    <b:JournalName>International journal of food properties</b:JournalName>
    <b:Year>2014</b:Year>
    <b:Pages>pp.1150-1161</b:Pages>
    <b:Volume>17</b:Volume>
    <b:Issue>5</b:Issue>
    <b:RefOrder>7</b:RefOrder>
  </b:Source>
  <b:Source>
    <b:Tag>Kis17</b:Tag>
    <b:SourceType>JournalArticle</b:SourceType>
    <b:Guid>{8E756092-0322-4C0D-AB31-C578BE45F11D}</b:Guid>
    <b:Author>
      <b:Author>
        <b:NameList>
          <b:Person>
            <b:Last>Kissels</b:Last>
            <b:First>W.,</b:First>
            <b:Middle>Wu, X. and Santos, R.R.</b:Middle>
          </b:Person>
        </b:NameList>
      </b:Author>
    </b:Author>
    <b:Title>Interaction of the isomers carvacrol and thymol with the antibiotics doxycycline and tilmicosin: In vitro effects against pathogenic bacteria commonly found in the respiratory tract of calves</b:Title>
    <b:JournalName>Journal of dairy science</b:JournalName>
    <b:Year>2017</b:Year>
    <b:Pages>pp.970-974</b:Pages>
    <b:Volume>100</b:Volume>
    <b:Issue>2</b:Issue>
    <b:RefOrder>3</b:RefOrder>
  </b:Source>
  <b:Source>
    <b:Tag>Kat17</b:Tag>
    <b:SourceType>JournalArticle</b:SourceType>
    <b:Guid>{A577DDE3-6E7C-4DC6-AC12-2521D418A3C7}</b:Guid>
    <b:Author>
      <b:Author>
        <b:NameList>
          <b:Person>
            <b:Last>Katsoulos</b:Last>
            <b:First>P.D.,</b:First>
            <b:Middle>Karatzia, M.A., Dovas, C.I., Filioussis, G., Papadopoulos, E., Kiossis, E., Arsenopoulos, K., Papadopoulos, T., Boscos, C. and Karatzias, H</b:Middle>
          </b:Person>
        </b:NameList>
      </b:Author>
    </b:Author>
    <b:Title>Evaluation of the in-field efficacy of oregano essential oil administration on the control of neonatal diarrhea syndrome in calves</b:Title>
    <b:JournalName>Research in veterinary science</b:JournalName>
    <b:Year>2017</b:Year>
    <b:Pages>pp.478-483</b:Pages>
    <b:Volume>115</b:Volume>
    <b:RefOrder>9</b:RefOrder>
  </b:Source>
  <b:Source>
    <b:Tag>Sch16</b:Tag>
    <b:SourceType>Book</b:SourceType>
    <b:Guid>{236EA048-48C7-4564-9498-1ECD24AB2D15}</b:Guid>
    <b:Author>
      <b:Author>
        <b:NameList>
          <b:Person>
            <b:Last>Schuetz</b:Last>
            <b:First>B.</b:First>
          </b:Person>
        </b:NameList>
      </b:Author>
    </b:Author>
    <b:Title>Oil of Oregano: Nature's Antiseptic and Antioxidant</b:Title>
    <b:Year>2016</b:Year>
    <b:Publisher>Healthy Living Publications</b:Publisher>
    <b:RefOrder>1</b:RefOrder>
  </b:Source>
  <b:Source>
    <b:Tag>Vaz16</b:Tag>
    <b:SourceType>JournalArticle</b:SourceType>
    <b:Guid>{72E4DE47-6C61-4ABF-B00A-C7F313F79DA2}</b:Guid>
    <b:Author>
      <b:Author>
        <b:NameList>
          <b:Person>
            <b:Last>Vazhacharickal</b:Last>
            <b:First>P.J.,</b:First>
            <b:Middle>Mathew, J.J. and Varghese, N.</b:Middle>
          </b:Person>
        </b:NameList>
      </b:Author>
    </b:Author>
    <b:Title> A comparative study on traditional herbal medicines of Mannans (tribal group in Idukki, Kerala) for the treatment of diabetes</b:Title>
    <b:Year>2016</b:Year>
    <b:RefOrder>10</b:RefOrder>
  </b:Source>
  <b:Source>
    <b:Tag>Sil16</b:Tag>
    <b:SourceType>JournalArticle</b:SourceType>
    <b:Guid>{5547B2F5-8BD3-4FCA-BA62-C545EC9C03AA}</b:Guid>
    <b:Author>
      <b:Author>
        <b:NameList>
          <b:Person>
            <b:Last>Silva</b:Last>
            <b:First>J.C.,</b:First>
            <b:Middle>Almeida, J.R., Quintans, J.S., Gopalsamy, R.G., Shanmugam, S., Serafini, M.R., Oliveira, M.R., Silva, B.A., Martins, A.O., Castro, F.F. and Menezes, I.R.</b:Middle>
          </b:Person>
        </b:NameList>
      </b:Author>
    </b:Author>
    <b:Title>Enhancement of orofacial antinociceptive effect of carvacrol, a monoterpene present in oregano and thyme oils, by β-cyclodextrin inclusion complex in mice</b:Title>
    <b:JournalName>Biomedicine &amp; Pharmacotherapy</b:JournalName>
    <b:Year>2016</b:Year>
    <b:Pages>pp.454-461</b:Pages>
    <b:Volume>84</b:Volume>
    <b:RefOrder>13</b:RefOrder>
  </b:Source>
  <b:Source>
    <b:Tag>Kub17</b:Tag>
    <b:SourceType>JournalArticle</b:SourceType>
    <b:Guid>{3E14BB77-92EC-40D2-8862-CF934A4D7AFB}</b:Guid>
    <b:Author>
      <b:Author>
        <b:NameList>
          <b:Person>
            <b:Last>Kubatka</b:Last>
            <b:First>P.,</b:First>
            <b:Middle>Kello, M., Kajo, K., Kruzliak, P., Výbohová, D., Mojžiš, J., Adamkov, M., Fialová, S., Veizerová, L., Zulli, A. and Péč, M.</b:Middle>
          </b:Person>
        </b:NameList>
      </b:Author>
    </b:Author>
    <b:Title>Oregano demonstrates distinct tumour-suppressive effects in the breast carcinoma model</b:Title>
    <b:JournalName>European journal of nutrition</b:JournalName>
    <b:Year>2017</b:Year>
    <b:Pages>pp. 1303-1316</b:Pages>
    <b:Volume>56</b:Volume>
    <b:Issue>3</b:Issue>
    <b:RefOrder>11</b:RefOrder>
  </b:Source>
  <b:Source>
    <b:Tag>Ame15</b:Tag>
    <b:SourceType>JournalArticle</b:SourceType>
    <b:Guid>{178C3A5A-C0DC-44AD-B0F2-2AED391E3E49}</b:Guid>
    <b:Author>
      <b:Author>
        <b:NameList>
          <b:Person>
            <b:Last>Ameh</b:Last>
            <b:First>S.J.,</b:First>
            <b:Middle>Ibekwe, N.N. and Ebeshi, B.U.</b:Middle>
          </b:Person>
        </b:NameList>
      </b:Author>
    </b:Author>
    <b:Title>Essential Oils in Ginger, Hops, Cloves, and Pepper Flavored Beverages–A Review</b:Title>
    <b:JournalName>Journal of dietary supplements</b:JournalName>
    <b:Year>2015</b:Year>
    <b:Pages>pp. 241-260</b:Pages>
    <b:Volume>12</b:Volume>
    <b:Issue>3</b:Issue>
    <b:RefOrder>8</b:RefOrder>
  </b:Source>
  <b:Source>
    <b:Tag>Bon16</b:Tag>
    <b:SourceType>JournalArticle</b:SourceType>
    <b:Guid>{83B6FB7F-671D-4D3F-BBF4-03E83FF588D8}</b:Guid>
    <b:Author>
      <b:Author>
        <b:NameList>
          <b:Person>
            <b:Last>Bona</b:Last>
            <b:First>E.,</b:First>
            <b:Middle>Cantamessa, S., Pavan, M., Novello, G., Massa, N., Rocchetti, A., Berta, G. and Gamalero, E.</b:Middle>
          </b:Person>
        </b:NameList>
      </b:Author>
    </b:Author>
    <b:Title>Sensitivity of Candida albicans to essential oils: are they an alternative to antifungal agents?</b:Title>
    <b:JournalName>Journal of applied microbiology</b:JournalName>
    <b:Year>2016</b:Year>
    <b:Pages>pp.1530-1545</b:Pages>
    <b:Volume>121</b:Volume>
    <b:Issue>6</b:Issue>
    <b:RefOrder>14</b:RefOrder>
  </b:Source>
  <b:Source>
    <b:Tag>Moo16</b:Tag>
    <b:SourceType>Book</b:SourceType>
    <b:Guid>{CA384109-F842-403C-89AB-73FBC72CF608}</b:Guid>
    <b:Author>
      <b:Author>
        <b:NameList>
          <b:Person>
            <b:Last>Moore</b:Last>
            <b:First>S.</b:First>
            <b:Middle>and Poss, M., Kemin Industries Inc</b:Middle>
          </b:Person>
        </b:NameList>
      </b:Author>
    </b:Author>
    <b:Title>Antimicrobial Compositions Containing Carvacrol and Thymol</b:Title>
    <b:Year>2016</b:Year>
    <b:Publisher>U.S. Patent Application 14/962,203</b:Publisher>
    <b:RefOrder>4</b:RefOrder>
  </b:Source>
  <b:Source>
    <b:Tag>Rod161</b:Tag>
    <b:SourceType>JournalArticle</b:SourceType>
    <b:Guid>{BDD4453D-6A90-4AEA-A2EC-81CD5A3121AB}</b:Guid>
    <b:Author>
      <b:Author>
        <b:NameList>
          <b:Person>
            <b:Last>Rodriguez-Garcia</b:Last>
            <b:First>I.,</b:First>
            <b:Middle>Silva-Espinoza, B.A., Ortega-Ramirez, L.A., Leyva, J.M., Siddiqui, M.W., Cruz-Valenzuela, M.R., Gonzalez-Aguilar, G.A. and Ayala-Zavala, J.F.</b:Middle>
          </b:Person>
        </b:NameList>
      </b:Author>
    </b:Author>
    <b:Title>Oregano essential oil as an antimicrobial and antioxidant additive in food products</b:Title>
    <b:Year>2016</b:Year>
    <b:JournalName>Critical reviews in food science and nutrition</b:JournalName>
    <b:Pages>pp.1717-1727</b:Pages>
    <b:Volume>56</b:Volume>
    <b:Issue>10</b:Issue>
    <b:RefOrder>6</b:RefOrder>
  </b:Source>
</b:Sources>
</file>

<file path=customXml/itemProps1.xml><?xml version="1.0" encoding="utf-8"?>
<ds:datastoreItem xmlns:ds="http://schemas.openxmlformats.org/officeDocument/2006/customXml" ds:itemID="{4EB7F5A8-559E-46D0-BF6E-C39E620C28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845</Words>
  <Characters>4823</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2018-09-26T21:17:00Z</dcterms:created>
  <dcterms:modified xsi:type="dcterms:W3CDTF">2018-09-26T21:17:00Z</dcterms:modified>
</cp:coreProperties>
</file>